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F1" w:rsidRPr="009A1BF1" w:rsidRDefault="00762278" w:rsidP="009A1BF1">
      <w:pPr>
        <w:jc w:val="center"/>
        <w:rPr>
          <w:b/>
        </w:rPr>
      </w:pPr>
      <w:bookmarkStart w:id="0" w:name="_GoBack"/>
      <w:bookmarkEnd w:id="0"/>
      <w:r>
        <w:rPr>
          <w:b/>
        </w:rPr>
        <w:t>201</w:t>
      </w:r>
      <w:r w:rsidR="00F324A5">
        <w:rPr>
          <w:b/>
        </w:rPr>
        <w:t>6</w:t>
      </w:r>
      <w:r w:rsidR="009F6A32">
        <w:rPr>
          <w:b/>
        </w:rPr>
        <w:t xml:space="preserve"> </w:t>
      </w:r>
      <w:r w:rsidR="007D2A90">
        <w:rPr>
          <w:b/>
        </w:rPr>
        <w:t xml:space="preserve">SES </w:t>
      </w:r>
      <w:r w:rsidR="00FC7B5B">
        <w:rPr>
          <w:b/>
        </w:rPr>
        <w:t>SUCCESSION PLANNING</w:t>
      </w:r>
    </w:p>
    <w:p w:rsidR="009A1BF1" w:rsidRDefault="009A1BF1" w:rsidP="009F5AB7">
      <w:pPr>
        <w:rPr>
          <w:b/>
        </w:rPr>
      </w:pPr>
    </w:p>
    <w:p w:rsidR="00AA4D4F" w:rsidRPr="009A1BF1" w:rsidRDefault="00AA4D4F" w:rsidP="009F5AB7">
      <w:pPr>
        <w:rPr>
          <w:b/>
        </w:rPr>
      </w:pPr>
    </w:p>
    <w:p w:rsidR="0000540D" w:rsidRPr="00630434" w:rsidRDefault="004F1BE7" w:rsidP="00630434">
      <w:pPr>
        <w:jc w:val="center"/>
        <w:rPr>
          <w:b/>
          <w:u w:val="single"/>
        </w:rPr>
      </w:pPr>
      <w:r w:rsidRPr="00630434">
        <w:rPr>
          <w:b/>
          <w:sz w:val="24"/>
          <w:szCs w:val="24"/>
          <w:u w:val="single"/>
          <w:lang w:val="en-CA"/>
        </w:rPr>
        <w:fldChar w:fldCharType="begin"/>
      </w:r>
      <w:r w:rsidR="0000540D" w:rsidRPr="00630434">
        <w:rPr>
          <w:b/>
          <w:sz w:val="24"/>
          <w:szCs w:val="24"/>
          <w:u w:val="single"/>
          <w:lang w:val="en-CA"/>
        </w:rPr>
        <w:instrText xml:space="preserve"> SEQ CHAPTER \h \r 1</w:instrText>
      </w:r>
      <w:r w:rsidRPr="00630434">
        <w:rPr>
          <w:b/>
          <w:sz w:val="24"/>
          <w:szCs w:val="24"/>
          <w:u w:val="single"/>
          <w:lang w:val="en-CA"/>
        </w:rPr>
        <w:fldChar w:fldCharType="end"/>
      </w:r>
      <w:r w:rsidR="0000540D" w:rsidRPr="00630434">
        <w:rPr>
          <w:b/>
          <w:u w:val="single"/>
        </w:rPr>
        <w:t xml:space="preserve">Expected Outcomes from </w:t>
      </w:r>
      <w:r w:rsidR="00F35491">
        <w:rPr>
          <w:b/>
          <w:u w:val="single"/>
        </w:rPr>
        <w:t>S</w:t>
      </w:r>
      <w:r w:rsidR="00FC7B5B">
        <w:rPr>
          <w:b/>
          <w:u w:val="single"/>
        </w:rPr>
        <w:t>uccession Planning</w:t>
      </w:r>
      <w:r w:rsidR="009F5AB7">
        <w:rPr>
          <w:b/>
          <w:u w:val="single"/>
        </w:rPr>
        <w:t xml:space="preserve"> </w:t>
      </w:r>
      <w:r w:rsidR="00681A85">
        <w:rPr>
          <w:b/>
          <w:u w:val="single"/>
        </w:rPr>
        <w:t>Process</w:t>
      </w:r>
    </w:p>
    <w:p w:rsidR="0000540D" w:rsidRDefault="0000540D" w:rsidP="0000540D"/>
    <w:p w:rsidR="009418FA" w:rsidRPr="009418FA" w:rsidRDefault="009418FA" w:rsidP="009418FA">
      <w:pPr>
        <w:numPr>
          <w:ilvl w:val="0"/>
          <w:numId w:val="8"/>
        </w:numPr>
        <w:tabs>
          <w:tab w:val="num" w:pos="990"/>
        </w:tabs>
      </w:pPr>
      <w:r w:rsidRPr="009418FA">
        <w:t xml:space="preserve">Develop strategies to ensure a pipeline of enough near and longer term diverse, high quality successors for the full range of executive leadership positions.  </w:t>
      </w:r>
    </w:p>
    <w:p w:rsidR="009418FA" w:rsidRPr="009418FA" w:rsidRDefault="009418FA" w:rsidP="009418FA"/>
    <w:p w:rsidR="009418FA" w:rsidRPr="009418FA" w:rsidRDefault="006F548F" w:rsidP="009418FA">
      <w:pPr>
        <w:numPr>
          <w:ilvl w:val="0"/>
          <w:numId w:val="8"/>
        </w:numPr>
        <w:tabs>
          <w:tab w:val="num" w:pos="990"/>
        </w:tabs>
      </w:pPr>
      <w:r w:rsidRPr="009418FA">
        <w:t xml:space="preserve">Review the strengths and needs of each executive and recommend further specific development, key growth experiences, mentoring, coaching, and/or other learning for each executive that will enable them to fill NRC leadership needs.  </w:t>
      </w:r>
      <w:r w:rsidR="009418FA" w:rsidRPr="009418FA">
        <w:t>This includes assessing readiness to assume positions with different or more challenging responsibilities.  Share results and recommendations with individuals in an open and transparent manner.</w:t>
      </w:r>
    </w:p>
    <w:p w:rsidR="009418FA" w:rsidRPr="009418FA" w:rsidRDefault="009418FA" w:rsidP="009418FA">
      <w:pPr>
        <w:ind w:left="720"/>
      </w:pPr>
    </w:p>
    <w:p w:rsidR="009418FA" w:rsidRPr="009418FA" w:rsidRDefault="009418FA" w:rsidP="009418FA">
      <w:pPr>
        <w:numPr>
          <w:ilvl w:val="0"/>
          <w:numId w:val="8"/>
        </w:numPr>
        <w:tabs>
          <w:tab w:val="num" w:pos="990"/>
        </w:tabs>
      </w:pPr>
      <w:r w:rsidRPr="009418FA">
        <w:t>Follow up, using succession planning results in a consistent, open and transparent manner to prepare and update Executive Development Plans (EDPs) and to inform Executive Resources Board (ERB) staffing decisions, including the relative priority of selections, developmental assignments, and rotations that benefit the executive and NRC.</w:t>
      </w:r>
    </w:p>
    <w:p w:rsidR="009418FA" w:rsidRDefault="009418FA" w:rsidP="009418FA">
      <w:pPr>
        <w:ind w:left="720"/>
      </w:pPr>
    </w:p>
    <w:p w:rsidR="008E080D" w:rsidRDefault="00386DA9" w:rsidP="009418FA">
      <w:pPr>
        <w:numPr>
          <w:ilvl w:val="0"/>
          <w:numId w:val="8"/>
        </w:numPr>
        <w:tabs>
          <w:tab w:val="num" w:pos="990"/>
        </w:tabs>
      </w:pPr>
      <w:r>
        <w:t>R</w:t>
      </w:r>
      <w:r w:rsidR="002878DE">
        <w:t xml:space="preserve">ecommend future </w:t>
      </w:r>
      <w:r w:rsidR="00CF090C">
        <w:t xml:space="preserve">process </w:t>
      </w:r>
      <w:r w:rsidR="002878DE">
        <w:t>improvement</w:t>
      </w:r>
      <w:r>
        <w:t>s</w:t>
      </w:r>
      <w:r w:rsidR="009418FA">
        <w:t>.  This will include periodically reviewing the</w:t>
      </w:r>
      <w:r w:rsidR="009418FA" w:rsidRPr="009418FA">
        <w:t xml:space="preserve"> anticipated competencies and attributes for agency leadership and executive positions.  </w:t>
      </w:r>
    </w:p>
    <w:p w:rsidR="009418FA" w:rsidRDefault="009418FA" w:rsidP="009418FA">
      <w:pPr>
        <w:ind w:left="720"/>
      </w:pPr>
    </w:p>
    <w:p w:rsidR="009418FA" w:rsidRDefault="009418FA" w:rsidP="009418FA">
      <w:pPr>
        <w:ind w:left="720"/>
      </w:pPr>
    </w:p>
    <w:p w:rsidR="008E080D" w:rsidRPr="008E080D" w:rsidRDefault="008E080D" w:rsidP="008E080D">
      <w:pPr>
        <w:jc w:val="center"/>
        <w:rPr>
          <w:b/>
          <w:u w:val="single"/>
        </w:rPr>
      </w:pPr>
      <w:r w:rsidRPr="008E080D">
        <w:rPr>
          <w:b/>
          <w:u w:val="single"/>
        </w:rPr>
        <w:t>Roles and Responsibilities in SES Succession Planning</w:t>
      </w:r>
    </w:p>
    <w:p w:rsidR="008E080D" w:rsidRDefault="008E080D" w:rsidP="008E080D">
      <w:pPr>
        <w:rPr>
          <w:b/>
        </w:rPr>
      </w:pPr>
    </w:p>
    <w:p w:rsidR="008E080D" w:rsidRPr="008E080D" w:rsidRDefault="008E080D" w:rsidP="008E080D">
      <w:r w:rsidRPr="008E080D">
        <w:t>The ERB will review and, as appropriate, revise the</w:t>
      </w:r>
      <w:r w:rsidR="00D87426">
        <w:t xml:space="preserve"> exceptional leadership</w:t>
      </w:r>
      <w:r w:rsidR="007F3580">
        <w:t xml:space="preserve"> </w:t>
      </w:r>
      <w:r w:rsidRPr="008E080D">
        <w:t xml:space="preserve">competencies and </w:t>
      </w:r>
      <w:r w:rsidR="00D87426">
        <w:t>attributes and the process for assessing them</w:t>
      </w:r>
      <w:r>
        <w:t xml:space="preserve"> at least annually</w:t>
      </w:r>
      <w:r w:rsidR="00D87426">
        <w:t>.</w:t>
      </w:r>
    </w:p>
    <w:p w:rsidR="009000BA" w:rsidRDefault="009000BA" w:rsidP="009000BA"/>
    <w:p w:rsidR="003E636D" w:rsidRDefault="009000BA" w:rsidP="00D87426">
      <w:pPr>
        <w:tabs>
          <w:tab w:val="num" w:pos="1440"/>
        </w:tabs>
      </w:pPr>
      <w:r>
        <w:t xml:space="preserve">Each Office Director/Regional Administrator, or their designee, </w:t>
      </w:r>
      <w:r w:rsidR="00F21EF3" w:rsidRPr="00D87426">
        <w:t>considers each executive in the office/region</w:t>
      </w:r>
      <w:r w:rsidR="00D87426">
        <w:t>.  This includes obtaining</w:t>
      </w:r>
      <w:r w:rsidR="00F21EF3" w:rsidRPr="00D87426">
        <w:t xml:space="preserve"> </w:t>
      </w:r>
      <w:r w:rsidR="00D87426">
        <w:t xml:space="preserve">a reasonable level of </w:t>
      </w:r>
      <w:r w:rsidR="00F21EF3" w:rsidRPr="00D87426">
        <w:t xml:space="preserve">informal input from the executive, </w:t>
      </w:r>
      <w:r w:rsidR="00F21EF3" w:rsidRPr="001000F0">
        <w:t>stakeholders</w:t>
      </w:r>
      <w:r w:rsidR="00741168" w:rsidRPr="001000F0">
        <w:t xml:space="preserve"> (as appropriate)</w:t>
      </w:r>
      <w:r w:rsidR="00F21EF3" w:rsidRPr="001000F0">
        <w:t xml:space="preserve">, </w:t>
      </w:r>
      <w:r w:rsidR="00D87426" w:rsidRPr="001000F0">
        <w:t xml:space="preserve">and </w:t>
      </w:r>
      <w:r w:rsidR="00F21EF3" w:rsidRPr="001000F0">
        <w:t xml:space="preserve">colleagues for </w:t>
      </w:r>
      <w:r w:rsidR="00D87426" w:rsidRPr="001000F0">
        <w:t xml:space="preserve">a more </w:t>
      </w:r>
      <w:r w:rsidR="00F21EF3" w:rsidRPr="001000F0">
        <w:t>balanced, complete perspective</w:t>
      </w:r>
      <w:r w:rsidR="00D87426" w:rsidRPr="001000F0">
        <w:t>;</w:t>
      </w:r>
      <w:r w:rsidR="00D87426">
        <w:t xml:space="preserve"> assessing </w:t>
      </w:r>
      <w:r w:rsidR="00F21EF3" w:rsidRPr="00D87426">
        <w:t xml:space="preserve">each executive against each </w:t>
      </w:r>
      <w:r w:rsidR="00D87426">
        <w:t xml:space="preserve">exceptional leadership </w:t>
      </w:r>
      <w:r w:rsidR="00F21EF3" w:rsidRPr="00D87426">
        <w:t>competency</w:t>
      </w:r>
      <w:r w:rsidR="00D87426">
        <w:t xml:space="preserve">; recommending </w:t>
      </w:r>
      <w:r w:rsidR="00F21EF3" w:rsidRPr="00D87426">
        <w:t>continued growth and development for each executive</w:t>
      </w:r>
      <w:r w:rsidR="00D87426">
        <w:t>;</w:t>
      </w:r>
      <w:r w:rsidR="00D87426" w:rsidRPr="00D87426">
        <w:t xml:space="preserve"> </w:t>
      </w:r>
      <w:r w:rsidR="00D87426">
        <w:t>holding succession planning discussions with executives in their respective organizations, ensuring that each executive has an appropriate Executive Development Plan (EDP); and sharing results and recommendations with the appropriate DEDO and the ERB.</w:t>
      </w:r>
    </w:p>
    <w:p w:rsidR="00D87426" w:rsidRPr="00D87426" w:rsidRDefault="00D87426" w:rsidP="00D87426">
      <w:pPr>
        <w:tabs>
          <w:tab w:val="num" w:pos="1440"/>
        </w:tabs>
      </w:pPr>
    </w:p>
    <w:p w:rsidR="009000BA" w:rsidRDefault="009000BA" w:rsidP="009000BA">
      <w:r w:rsidRPr="005901B0">
        <w:t>All executives should take an active part in identifying career goals, pursuing their developmental interests</w:t>
      </w:r>
      <w:r w:rsidR="00D87426">
        <w:t xml:space="preserve">, </w:t>
      </w:r>
      <w:r w:rsidRPr="005901B0">
        <w:t xml:space="preserve">including discussing with the </w:t>
      </w:r>
      <w:r w:rsidR="006F24E9">
        <w:t>Office Director/Regional Administrator</w:t>
      </w:r>
      <w:r w:rsidRPr="005901B0">
        <w:t xml:space="preserve"> their development interests, potential development activities, and other executives with whom they would benefit from learning collaboratively (for example, sharing strategies for improving specific leadership skills), as well as completing the SES Succession Planning Career Interests Form), and completing</w:t>
      </w:r>
      <w:r w:rsidR="001E0F2D">
        <w:t>/</w:t>
      </w:r>
      <w:r w:rsidR="00147DE8">
        <w:t xml:space="preserve">updating annually </w:t>
      </w:r>
      <w:r w:rsidRPr="005901B0">
        <w:t xml:space="preserve">an </w:t>
      </w:r>
      <w:r>
        <w:t>EDP</w:t>
      </w:r>
      <w:r w:rsidRPr="005901B0">
        <w:t xml:space="preserve"> with agreed-upon completion dates appropriate to the individual, organizational priorities, and any mentor, coach, or opportunity for collaborative learning.</w:t>
      </w:r>
    </w:p>
    <w:p w:rsidR="009000BA" w:rsidRDefault="009000BA" w:rsidP="009000BA"/>
    <w:p w:rsidR="009000BA" w:rsidRDefault="009000BA" w:rsidP="009000BA">
      <w:r>
        <w:t xml:space="preserve">The ERB </w:t>
      </w:r>
      <w:r w:rsidR="00D87426">
        <w:t>collegially discusses each executive’s demonstrated exceptional leadership competencies and continued development.  The ERB</w:t>
      </w:r>
      <w:r>
        <w:t xml:space="preserve"> coordinate</w:t>
      </w:r>
      <w:r w:rsidR="00D87426">
        <w:t>s</w:t>
      </w:r>
      <w:r>
        <w:t>,</w:t>
      </w:r>
      <w:r w:rsidR="00D87426">
        <w:t xml:space="preserve"> informs,</w:t>
      </w:r>
      <w:r>
        <w:t xml:space="preserve"> monitor</w:t>
      </w:r>
      <w:r w:rsidR="00D87426">
        <w:t>s</w:t>
      </w:r>
      <w:r>
        <w:t>, and review</w:t>
      </w:r>
      <w:r w:rsidR="00D87426">
        <w:t>s</w:t>
      </w:r>
      <w:r>
        <w:t xml:space="preserve"> results of succession planning activities, and developmental activities, as appropriate.  The ERB will also review EDPs to ensure that they are appropriate and meet executive and organizational needs and priorities.</w:t>
      </w:r>
    </w:p>
    <w:p w:rsidR="008E080D" w:rsidRDefault="008E080D" w:rsidP="008E080D"/>
    <w:p w:rsidR="00681A85" w:rsidRDefault="00681A85" w:rsidP="008E080D">
      <w:r>
        <w:t>The E</w:t>
      </w:r>
      <w:r w:rsidR="001932EB">
        <w:t>xecutive Director for Operations (</w:t>
      </w:r>
      <w:smartTag w:uri="urn:schemas-microsoft-com:office:smarttags" w:element="stockticker">
        <w:r w:rsidR="001932EB">
          <w:t>E</w:t>
        </w:r>
        <w:r>
          <w:t>DO</w:t>
        </w:r>
      </w:smartTag>
      <w:r w:rsidR="001932EB">
        <w:t>), Deputy Executive Directors (DEDOs)</w:t>
      </w:r>
      <w:r>
        <w:t xml:space="preserve">, </w:t>
      </w:r>
      <w:r w:rsidR="001932EB">
        <w:t>Chief Financial Officer (</w:t>
      </w:r>
      <w:r>
        <w:t>CFO</w:t>
      </w:r>
      <w:r w:rsidR="001932EB">
        <w:t>)</w:t>
      </w:r>
      <w:r>
        <w:t xml:space="preserve"> and </w:t>
      </w:r>
      <w:r w:rsidR="001932EB">
        <w:t>General Counsel (</w:t>
      </w:r>
      <w:r>
        <w:t>GC</w:t>
      </w:r>
      <w:r w:rsidR="001932EB">
        <w:t>)</w:t>
      </w:r>
      <w:r>
        <w:t xml:space="preserve"> will</w:t>
      </w:r>
      <w:r w:rsidR="009000BA">
        <w:t xml:space="preserve"> periodically review available</w:t>
      </w:r>
      <w:r>
        <w:t xml:space="preserve"> potential successors to top echelon positions</w:t>
      </w:r>
      <w:r w:rsidR="009000BA">
        <w:t>,</w:t>
      </w:r>
      <w:r>
        <w:t xml:space="preserve"> identify developmental priorities for potential successors</w:t>
      </w:r>
      <w:r w:rsidR="009000BA">
        <w:t>, and hold succession planning meetings with the top echelon of executives in their respective organizations</w:t>
      </w:r>
      <w:r>
        <w:t>:</w:t>
      </w:r>
    </w:p>
    <w:p w:rsidR="00F324A5" w:rsidRDefault="00F324A5" w:rsidP="008E080D"/>
    <w:p w:rsidR="00681A85" w:rsidRDefault="00681A85" w:rsidP="00681A85">
      <w:pPr>
        <w:numPr>
          <w:ilvl w:val="0"/>
          <w:numId w:val="21"/>
        </w:numPr>
      </w:pPr>
      <w:r>
        <w:t>Executive Director for Operations, Deputy Executive Directors for Operations, General Counsel, Chief Financial Officer</w:t>
      </w:r>
    </w:p>
    <w:p w:rsidR="00681A85" w:rsidRDefault="00681A85" w:rsidP="00681A85">
      <w:pPr>
        <w:numPr>
          <w:ilvl w:val="0"/>
          <w:numId w:val="21"/>
        </w:numPr>
      </w:pPr>
      <w:r>
        <w:t xml:space="preserve">Major </w:t>
      </w:r>
      <w:r w:rsidR="006E16DB">
        <w:t>P</w:t>
      </w:r>
      <w:r>
        <w:t xml:space="preserve">rogram Office Directors </w:t>
      </w:r>
      <w:r w:rsidR="007D794F">
        <w:t>and Regional Administrators</w:t>
      </w:r>
    </w:p>
    <w:p w:rsidR="00681A85" w:rsidRDefault="00335059" w:rsidP="00681A85">
      <w:pPr>
        <w:numPr>
          <w:ilvl w:val="0"/>
          <w:numId w:val="21"/>
        </w:numPr>
      </w:pPr>
      <w:r>
        <w:t>Corporate Support</w:t>
      </w:r>
      <w:r w:rsidR="00681A85">
        <w:t xml:space="preserve"> Office Directors </w:t>
      </w:r>
    </w:p>
    <w:p w:rsidR="002B590F" w:rsidRDefault="002B590F" w:rsidP="008E080D">
      <w:pPr>
        <w:numPr>
          <w:ilvl w:val="0"/>
          <w:numId w:val="21"/>
        </w:numPr>
      </w:pPr>
      <w:r>
        <w:t>Sm</w:t>
      </w:r>
      <w:r w:rsidR="00662BA8">
        <w:t xml:space="preserve">all Office Directors (e.g., </w:t>
      </w:r>
      <w:r>
        <w:t>OE</w:t>
      </w:r>
      <w:r w:rsidR="00662BA8">
        <w:t>, OI</w:t>
      </w:r>
      <w:r>
        <w:t>)</w:t>
      </w:r>
    </w:p>
    <w:p w:rsidR="008E080D" w:rsidRDefault="002B590F" w:rsidP="002B590F">
      <w:pPr>
        <w:ind w:left="720"/>
      </w:pPr>
      <w:r>
        <w:t xml:space="preserve"> </w:t>
      </w:r>
    </w:p>
    <w:p w:rsidR="008E080D" w:rsidRDefault="008E080D" w:rsidP="008E080D">
      <w:r>
        <w:t xml:space="preserve">The </w:t>
      </w:r>
      <w:smartTag w:uri="urn:schemas-microsoft-com:office:smarttags" w:element="place">
        <w:r w:rsidR="00F46388" w:rsidRPr="00681A85">
          <w:t>EDO</w:t>
        </w:r>
      </w:smartTag>
      <w:r w:rsidRPr="00681A85">
        <w:t xml:space="preserve"> will </w:t>
      </w:r>
      <w:r w:rsidR="0000176D" w:rsidRPr="00681A85">
        <w:t xml:space="preserve">discuss </w:t>
      </w:r>
      <w:r w:rsidRPr="00681A85">
        <w:t xml:space="preserve">future potential successors to the </w:t>
      </w:r>
      <w:r w:rsidR="0000176D" w:rsidRPr="00681A85">
        <w:t xml:space="preserve">top echelon of executive positions with the </w:t>
      </w:r>
      <w:r w:rsidRPr="00681A85">
        <w:t>Chairman</w:t>
      </w:r>
      <w:r>
        <w:t xml:space="preserve"> at least annually.</w:t>
      </w:r>
    </w:p>
    <w:p w:rsidR="00CF0732" w:rsidRDefault="00CF0732" w:rsidP="008E080D"/>
    <w:p w:rsidR="00382BE7" w:rsidRDefault="00382BE7" w:rsidP="008E080D"/>
    <w:p w:rsidR="00CF0732" w:rsidRPr="00CF0732" w:rsidRDefault="00CF0732" w:rsidP="00CF0732">
      <w:pPr>
        <w:jc w:val="center"/>
        <w:rPr>
          <w:b/>
          <w:u w:val="single"/>
        </w:rPr>
      </w:pPr>
      <w:r w:rsidRPr="00CF0732">
        <w:rPr>
          <w:b/>
          <w:u w:val="single"/>
        </w:rPr>
        <w:t>Succession Planning/Executive Development Process</w:t>
      </w:r>
    </w:p>
    <w:p w:rsidR="00CF0732" w:rsidRDefault="00CF0732" w:rsidP="008E080D"/>
    <w:p w:rsidR="00396129" w:rsidRDefault="001D71C9" w:rsidP="005E442E">
      <w:r>
        <w:t xml:space="preserve">The ERB </w:t>
      </w:r>
      <w:r w:rsidR="00382BE7">
        <w:t xml:space="preserve">has identified competencies and attributes needed for agency senior leadership </w:t>
      </w:r>
      <w:r w:rsidR="00B74769" w:rsidRPr="005E442E">
        <w:t>positions</w:t>
      </w:r>
      <w:r w:rsidR="00382BE7">
        <w:t xml:space="preserve"> and enhanced the executive succession planning process</w:t>
      </w:r>
      <w:r w:rsidR="00B74769" w:rsidRPr="005E442E">
        <w:t>.</w:t>
      </w:r>
      <w:r w:rsidR="00B74769">
        <w:t xml:space="preserve"> </w:t>
      </w:r>
      <w:r w:rsidR="00382BE7">
        <w:t xml:space="preserve"> The ERB will continue to review and refine the process</w:t>
      </w:r>
      <w:r w:rsidR="00E17282">
        <w:t xml:space="preserve"> and guidance</w:t>
      </w:r>
      <w:r w:rsidR="00382BE7">
        <w:t>.</w:t>
      </w:r>
    </w:p>
    <w:p w:rsidR="00396129" w:rsidRDefault="00396129" w:rsidP="008E080D"/>
    <w:p w:rsidR="00E17282" w:rsidRDefault="00E17282" w:rsidP="008E080D">
      <w:r>
        <w:t xml:space="preserve">Using the guidance in the succession planning working draft, </w:t>
      </w:r>
      <w:r w:rsidR="00C7702F" w:rsidRPr="005E442E">
        <w:t>Office Directors/Regional A</w:t>
      </w:r>
      <w:r w:rsidR="00396129" w:rsidRPr="005E442E">
        <w:t>dministrators will assess</w:t>
      </w:r>
      <w:r>
        <w:t>:</w:t>
      </w:r>
    </w:p>
    <w:p w:rsidR="00E17282" w:rsidRDefault="00382BE7" w:rsidP="00E17282">
      <w:pPr>
        <w:pStyle w:val="ListParagraph"/>
        <w:numPr>
          <w:ilvl w:val="0"/>
          <w:numId w:val="36"/>
        </w:numPr>
      </w:pPr>
      <w:r>
        <w:t>each executive with respect to the exceptional leadership competencies</w:t>
      </w:r>
      <w:r w:rsidR="00E17282">
        <w:t>,</w:t>
      </w:r>
    </w:p>
    <w:p w:rsidR="00E17282" w:rsidRDefault="00E17282" w:rsidP="00E17282">
      <w:pPr>
        <w:pStyle w:val="ListParagraph"/>
        <w:numPr>
          <w:ilvl w:val="0"/>
          <w:numId w:val="36"/>
        </w:numPr>
      </w:pPr>
      <w:r>
        <w:t xml:space="preserve">the </w:t>
      </w:r>
      <w:r w:rsidR="00B74769" w:rsidRPr="005E442E">
        <w:t>aspirations</w:t>
      </w:r>
      <w:r w:rsidR="00396129" w:rsidRPr="005E442E">
        <w:t xml:space="preserve"> and development needs of each executive</w:t>
      </w:r>
      <w:r>
        <w:t>, and</w:t>
      </w:r>
    </w:p>
    <w:p w:rsidR="00E17282" w:rsidRDefault="00B74769" w:rsidP="00E17282">
      <w:pPr>
        <w:pStyle w:val="ListParagraph"/>
        <w:numPr>
          <w:ilvl w:val="0"/>
          <w:numId w:val="36"/>
        </w:numPr>
      </w:pPr>
      <w:r w:rsidRPr="005E442E">
        <w:t>program needs</w:t>
      </w:r>
    </w:p>
    <w:p w:rsidR="00440C23" w:rsidRDefault="00C7702F" w:rsidP="00E17282">
      <w:r w:rsidRPr="005E442E">
        <w:t>in their organizations.</w:t>
      </w:r>
      <w:r w:rsidR="00681A85" w:rsidRPr="005E442E">
        <w:t xml:space="preserve">  The ERB will provide a forum at which members share</w:t>
      </w:r>
      <w:r w:rsidR="009000BA" w:rsidRPr="005E442E">
        <w:t xml:space="preserve"> and validate</w:t>
      </w:r>
      <w:r w:rsidR="00681A85" w:rsidRPr="005E442E">
        <w:t xml:space="preserve"> results of succession plan</w:t>
      </w:r>
      <w:r w:rsidR="00681A85">
        <w:t>ning at all levels and identify priorities and actions the ERB will take to facilitate further development of executives.</w:t>
      </w:r>
    </w:p>
    <w:p w:rsidR="00440C23" w:rsidRDefault="00440C23" w:rsidP="008E080D"/>
    <w:p w:rsidR="00396129" w:rsidRDefault="00396129" w:rsidP="008E080D">
      <w:r>
        <w:t>Based on the executive’s interests as well as feedback from the executive’s supervisory chain</w:t>
      </w:r>
      <w:r w:rsidR="00E17282">
        <w:t>, colleagues, and</w:t>
      </w:r>
      <w:r>
        <w:t xml:space="preserve"> the ERB, each executive will work with his or her supervisor or </w:t>
      </w:r>
      <w:r w:rsidR="00C932EE">
        <w:t>Office Director/Regional Administrator</w:t>
      </w:r>
      <w:r>
        <w:t xml:space="preserve"> to create</w:t>
      </w:r>
      <w:r w:rsidR="00EA3DA0">
        <w:t>/update</w:t>
      </w:r>
      <w:r>
        <w:t xml:space="preserve"> an EDP</w:t>
      </w:r>
      <w:r w:rsidR="00E17282">
        <w:rPr>
          <w:rStyle w:val="FootnoteReference"/>
        </w:rPr>
        <w:footnoteReference w:id="1"/>
      </w:r>
      <w:r>
        <w:t xml:space="preserve"> with training and developmental activities that will benefit and further broaden the executive. </w:t>
      </w:r>
    </w:p>
    <w:p w:rsidR="00396129" w:rsidRDefault="00396129" w:rsidP="008E080D"/>
    <w:p w:rsidR="00396129" w:rsidRDefault="00396129" w:rsidP="00E17282">
      <w:pPr>
        <w:numPr>
          <w:ilvl w:val="1"/>
          <w:numId w:val="39"/>
        </w:numPr>
        <w:ind w:left="720"/>
      </w:pPr>
      <w:r>
        <w:t xml:space="preserve">NRC is committed to continuous learning and improvement.  All of us benefit from continued development, and NRC relies on executives to strengthen and update their competencies.  </w:t>
      </w:r>
    </w:p>
    <w:p w:rsidR="00396129" w:rsidRDefault="00396129" w:rsidP="00E17282"/>
    <w:p w:rsidR="00396129" w:rsidRDefault="00396129" w:rsidP="00E17282">
      <w:pPr>
        <w:numPr>
          <w:ilvl w:val="1"/>
          <w:numId w:val="39"/>
        </w:numPr>
        <w:ind w:left="720"/>
      </w:pPr>
      <w:r>
        <w:t>The EDP should be designed to help each executive become even better at what they do now</w:t>
      </w:r>
      <w:r w:rsidR="00E17282">
        <w:t xml:space="preserve"> (build on strengths)</w:t>
      </w:r>
      <w:r>
        <w:t xml:space="preserve"> and help the executive prepare for potential future positions.</w:t>
      </w:r>
    </w:p>
    <w:p w:rsidR="00396129" w:rsidRDefault="00396129" w:rsidP="00E17282">
      <w:pPr>
        <w:ind w:left="-1920"/>
      </w:pPr>
    </w:p>
    <w:p w:rsidR="00396129" w:rsidRPr="00DC0CA1" w:rsidRDefault="00396129" w:rsidP="00E17282">
      <w:pPr>
        <w:numPr>
          <w:ilvl w:val="1"/>
          <w:numId w:val="39"/>
        </w:numPr>
        <w:ind w:left="720"/>
      </w:pPr>
      <w:r w:rsidRPr="00DC0CA1">
        <w:t xml:space="preserve">The EDP should </w:t>
      </w:r>
      <w:r w:rsidR="00E17282" w:rsidRPr="00DC0CA1">
        <w:t xml:space="preserve">generally </w:t>
      </w:r>
      <w:r w:rsidRPr="00DC0CA1">
        <w:t xml:space="preserve">be developed in connection with and partly based on feedback through </w:t>
      </w:r>
      <w:r w:rsidR="00FA525E">
        <w:t>performance discussions in addition to succession planning feedback</w:t>
      </w:r>
      <w:r w:rsidRPr="00DC0CA1">
        <w:t>.</w:t>
      </w:r>
      <w:r w:rsidR="00C932EE" w:rsidRPr="00DC0CA1">
        <w:t xml:space="preserve"> </w:t>
      </w:r>
    </w:p>
    <w:p w:rsidR="00396129" w:rsidRDefault="00396129" w:rsidP="00E17282"/>
    <w:p w:rsidR="00396129" w:rsidRPr="005E442E" w:rsidRDefault="00396129" w:rsidP="00E17282">
      <w:pPr>
        <w:numPr>
          <w:ilvl w:val="1"/>
          <w:numId w:val="39"/>
        </w:numPr>
        <w:ind w:left="720"/>
      </w:pPr>
      <w:r w:rsidRPr="005E442E">
        <w:t>Executives will use the results of</w:t>
      </w:r>
      <w:r w:rsidR="00E17282">
        <w:t xml:space="preserve"> succession planning,</w:t>
      </w:r>
      <w:r w:rsidRPr="005E442E">
        <w:t xml:space="preserve"> 360 degree assessments</w:t>
      </w:r>
      <w:r w:rsidR="00B74769" w:rsidRPr="005E442E">
        <w:t>, performance reviews,</w:t>
      </w:r>
      <w:r w:rsidRPr="005E442E">
        <w:t xml:space="preserve"> and </w:t>
      </w:r>
      <w:r w:rsidR="00B74769" w:rsidRPr="005E442E">
        <w:t xml:space="preserve">coaching from mentors, peers, supervising executives, and </w:t>
      </w:r>
      <w:r w:rsidRPr="005E442E">
        <w:t>executive coaches to</w:t>
      </w:r>
      <w:r w:rsidR="00E17282">
        <w:t xml:space="preserve"> develop,</w:t>
      </w:r>
      <w:r w:rsidRPr="005E442E">
        <w:t xml:space="preserve"> refine or revise EDPs.</w:t>
      </w:r>
    </w:p>
    <w:p w:rsidR="00396129" w:rsidRPr="005E442E" w:rsidRDefault="00396129" w:rsidP="00E17282"/>
    <w:p w:rsidR="00396129" w:rsidRDefault="00396129" w:rsidP="00E17282">
      <w:pPr>
        <w:numPr>
          <w:ilvl w:val="1"/>
          <w:numId w:val="39"/>
        </w:numPr>
        <w:ind w:left="720"/>
      </w:pPr>
      <w:r w:rsidRPr="005E442E">
        <w:lastRenderedPageBreak/>
        <w:t xml:space="preserve">EDPs may include a broad variety of </w:t>
      </w:r>
      <w:r w:rsidR="00B74769" w:rsidRPr="005E442E">
        <w:t>programmatic and leadership</w:t>
      </w:r>
      <w:r w:rsidR="005E442E">
        <w:t xml:space="preserve"> </w:t>
      </w:r>
      <w:r>
        <w:t>experiences (e.g., assignment or rotation to gain broader perspective, formal training, independent reading, work on specific competencies through assignments or projects, work with a mentor, coach, or as part of an executive pairing, etc.)</w:t>
      </w:r>
      <w:r w:rsidR="00E17282">
        <w:t xml:space="preserve">. </w:t>
      </w:r>
      <w:r w:rsidR="001000F0">
        <w:t xml:space="preserve">EDPs should be brief and focused and ensure the executive completes at least one training or developmental activity annually.  </w:t>
      </w:r>
      <w:r w:rsidR="00E17282">
        <w:t>See the section on Training and Development Options for Executives in the succession planning working draft for some options.</w:t>
      </w:r>
    </w:p>
    <w:p w:rsidR="009000BA" w:rsidRDefault="009000BA" w:rsidP="00E17282"/>
    <w:p w:rsidR="00C7702F" w:rsidRDefault="0094332E" w:rsidP="00E17282">
      <w:pPr>
        <w:numPr>
          <w:ilvl w:val="1"/>
          <w:numId w:val="39"/>
        </w:numPr>
        <w:ind w:left="720"/>
      </w:pPr>
      <w:r w:rsidRPr="005901B0">
        <w:t>Executives are encouraged, with advice from the Office or Region, to identify opportunities for collaborative learning with other executives.  Such opportunities could include, for example, informal mentoring, exchanges of approaches to leadership challenges, or collaboration to hone specific leadership skills.</w:t>
      </w:r>
    </w:p>
    <w:p w:rsidR="0094332E" w:rsidRDefault="0094332E" w:rsidP="00440C23"/>
    <w:p w:rsidR="00285150" w:rsidRDefault="00285150" w:rsidP="00440C23">
      <w:r w:rsidRPr="005E442E">
        <w:t xml:space="preserve">In accordance with current </w:t>
      </w:r>
      <w:r w:rsidR="003F7D28">
        <w:t>F</w:t>
      </w:r>
      <w:r w:rsidRPr="005E442E">
        <w:t>ederal regulations, the ERB will review and approve EDPs for executives.</w:t>
      </w:r>
      <w:r w:rsidR="00B74769" w:rsidRPr="005E442E">
        <w:t xml:space="preserve">  The ERB will assign a</w:t>
      </w:r>
      <w:r w:rsidR="00BD365F" w:rsidRPr="005E442E">
        <w:t>n independent</w:t>
      </w:r>
      <w:r w:rsidR="00B74769" w:rsidRPr="005E442E">
        <w:t xml:space="preserve"> lead reviewer for each executive’s EDP.  The lead reviewer will provide comments and constructive feedback on the quality, relevancy, and adequacy of the EDP to the supervising executive for discussion with the executive.  Lead reviewer observations will be compiled and assessed annually for the ERB to share as best practices with NRC executives.</w:t>
      </w:r>
    </w:p>
    <w:p w:rsidR="00285150" w:rsidRDefault="00285150" w:rsidP="00440C23"/>
    <w:p w:rsidR="009000BA" w:rsidRDefault="009000BA" w:rsidP="00440C23">
      <w:r>
        <w:t>The EDO, DEDOs, CFO and GC will periodically review the availability of potential successors for top echelon positions and development activities or assignments for them</w:t>
      </w:r>
      <w:r w:rsidRPr="00681A85">
        <w:t xml:space="preserve">.  The </w:t>
      </w:r>
      <w:smartTag w:uri="urn:schemas-microsoft-com:office:smarttags" w:element="place">
        <w:r w:rsidRPr="00681A85">
          <w:t>EDO</w:t>
        </w:r>
      </w:smartTag>
      <w:r w:rsidRPr="00681A85">
        <w:t xml:space="preserve"> or designee, CFO, and GC will hold succession planning meetings with the top echelon of executives in their respective organizations.  </w:t>
      </w:r>
    </w:p>
    <w:p w:rsidR="009000BA" w:rsidRDefault="009000BA" w:rsidP="00440C23"/>
    <w:p w:rsidR="009C5FE0" w:rsidRPr="009C5FE0" w:rsidRDefault="009C5FE0" w:rsidP="009C5FE0">
      <w:pPr>
        <w:jc w:val="center"/>
        <w:rPr>
          <w:b/>
          <w:u w:val="single"/>
        </w:rPr>
      </w:pPr>
      <w:r>
        <w:rPr>
          <w:b/>
          <w:u w:val="single"/>
        </w:rPr>
        <w:t>S</w:t>
      </w:r>
      <w:r w:rsidRPr="009C5FE0">
        <w:rPr>
          <w:b/>
          <w:u w:val="single"/>
        </w:rPr>
        <w:t xml:space="preserve">uccession </w:t>
      </w:r>
      <w:r>
        <w:rPr>
          <w:b/>
          <w:u w:val="single"/>
        </w:rPr>
        <w:t>P</w:t>
      </w:r>
      <w:r w:rsidRPr="009C5FE0">
        <w:rPr>
          <w:b/>
          <w:u w:val="single"/>
        </w:rPr>
        <w:t xml:space="preserve">lanning </w:t>
      </w:r>
      <w:r>
        <w:rPr>
          <w:b/>
          <w:u w:val="single"/>
        </w:rPr>
        <w:t>G</w:t>
      </w:r>
      <w:r w:rsidRPr="009C5FE0">
        <w:rPr>
          <w:b/>
          <w:u w:val="single"/>
        </w:rPr>
        <w:t>uidelines</w:t>
      </w:r>
      <w:r>
        <w:rPr>
          <w:b/>
          <w:u w:val="single"/>
        </w:rPr>
        <w:t xml:space="preserve"> and S</w:t>
      </w:r>
      <w:r w:rsidRPr="009C5FE0">
        <w:rPr>
          <w:b/>
          <w:u w:val="single"/>
        </w:rPr>
        <w:t xml:space="preserve">kill </w:t>
      </w:r>
      <w:r>
        <w:rPr>
          <w:b/>
          <w:u w:val="single"/>
        </w:rPr>
        <w:t>S</w:t>
      </w:r>
      <w:r w:rsidRPr="009C5FE0">
        <w:rPr>
          <w:b/>
          <w:u w:val="single"/>
        </w:rPr>
        <w:t xml:space="preserve">ets </w:t>
      </w:r>
      <w:r>
        <w:rPr>
          <w:b/>
          <w:u w:val="single"/>
        </w:rPr>
        <w:t>S</w:t>
      </w:r>
      <w:r w:rsidRPr="009C5FE0">
        <w:rPr>
          <w:b/>
          <w:u w:val="single"/>
        </w:rPr>
        <w:t>ought</w:t>
      </w:r>
    </w:p>
    <w:p w:rsidR="009C5FE0" w:rsidRDefault="009C5FE0" w:rsidP="009C5FE0"/>
    <w:p w:rsidR="009C5FE0" w:rsidRDefault="00E17282" w:rsidP="00E17282">
      <w:r>
        <w:t xml:space="preserve">The </w:t>
      </w:r>
      <w:r w:rsidR="00474F77">
        <w:t>May</w:t>
      </w:r>
      <w:r>
        <w:t xml:space="preserve"> 2015 succession planning working draft provides guidelines for assessing executives’ exceptional leadership competencies and attributes.</w:t>
      </w:r>
    </w:p>
    <w:p w:rsidR="00E17282" w:rsidRDefault="00E17282" w:rsidP="00E17282"/>
    <w:p w:rsidR="00285150" w:rsidRDefault="00E17282" w:rsidP="00E17282">
      <w:r>
        <w:t xml:space="preserve">In addition, in ensuring a pipeline of diverse, high quality leaders, the ERB considers needs for </w:t>
      </w:r>
      <w:r w:rsidR="00F21EF3">
        <w:t xml:space="preserve">technical credibility, including </w:t>
      </w:r>
      <w:r>
        <w:t>p</w:t>
      </w:r>
      <w:r w:rsidR="00B74769" w:rsidRPr="005E442E">
        <w:t xml:space="preserve">rogrammatic qualifications and experience </w:t>
      </w:r>
      <w:r w:rsidR="00285150" w:rsidRPr="005E442E">
        <w:t xml:space="preserve">appropriate to the position.  </w:t>
      </w:r>
      <w:r w:rsidR="00B74769" w:rsidRPr="005E442E">
        <w:t>Q</w:t>
      </w:r>
      <w:r w:rsidR="00285150" w:rsidRPr="005E442E">
        <w:t xml:space="preserve">ualifications </w:t>
      </w:r>
      <w:r w:rsidR="00B74769" w:rsidRPr="005E442E">
        <w:t xml:space="preserve">and experience </w:t>
      </w:r>
      <w:r w:rsidR="00285150" w:rsidRPr="005E442E">
        <w:t xml:space="preserve">may range </w:t>
      </w:r>
      <w:r w:rsidR="00B74769" w:rsidRPr="005E442E">
        <w:t xml:space="preserve">in importance </w:t>
      </w:r>
      <w:r w:rsidR="00285150" w:rsidRPr="005E442E">
        <w:t>from desirable to neces</w:t>
      </w:r>
      <w:r w:rsidR="00147DE8">
        <w:t xml:space="preserve">sary, depending on the position </w:t>
      </w:r>
      <w:r w:rsidR="00285150" w:rsidRPr="005E442E">
        <w:t>and skills available among subordinate staff</w:t>
      </w:r>
      <w:r w:rsidR="00B74769" w:rsidRPr="005E442E">
        <w:t>, statutory requirements, and other considerations</w:t>
      </w:r>
      <w:r w:rsidR="00285150" w:rsidRPr="005E442E">
        <w:t xml:space="preserve">. </w:t>
      </w:r>
    </w:p>
    <w:p w:rsidR="00F21EF3" w:rsidRDefault="00F21EF3" w:rsidP="00E17282"/>
    <w:p w:rsidR="00F21EF3" w:rsidRDefault="00F21EF3" w:rsidP="00E17282">
      <w:r>
        <w:t>In making day-to-day staffing decisions and identifying executive development needs, the ERB also considers:</w:t>
      </w:r>
    </w:p>
    <w:p w:rsidR="00B07827" w:rsidRDefault="00B07827" w:rsidP="00B07827">
      <w:pPr>
        <w:ind w:firstLine="720"/>
        <w:rPr>
          <w:strike/>
        </w:rPr>
      </w:pPr>
    </w:p>
    <w:p w:rsidR="00285150" w:rsidRDefault="00285150" w:rsidP="00F21EF3">
      <w:pPr>
        <w:numPr>
          <w:ilvl w:val="0"/>
          <w:numId w:val="31"/>
        </w:numPr>
        <w:tabs>
          <w:tab w:val="clear" w:pos="1080"/>
          <w:tab w:val="num" w:pos="720"/>
        </w:tabs>
        <w:ind w:left="720"/>
      </w:pPr>
      <w:r w:rsidRPr="009D5C0A">
        <w:t>Preference for non-linear moves</w:t>
      </w:r>
    </w:p>
    <w:p w:rsidR="00147DE8" w:rsidRPr="009D5C0A" w:rsidRDefault="00147DE8" w:rsidP="00F21EF3">
      <w:pPr>
        <w:ind w:left="720"/>
      </w:pPr>
    </w:p>
    <w:p w:rsidR="00285150" w:rsidRDefault="00285150" w:rsidP="00F21EF3">
      <w:pPr>
        <w:numPr>
          <w:ilvl w:val="0"/>
          <w:numId w:val="31"/>
        </w:numPr>
        <w:tabs>
          <w:tab w:val="clear" w:pos="1080"/>
          <w:tab w:val="num" w:pos="360"/>
        </w:tabs>
        <w:ind w:left="720"/>
      </w:pPr>
      <w:r w:rsidRPr="009D5C0A">
        <w:t>Preference for multi-organizational experience</w:t>
      </w:r>
    </w:p>
    <w:p w:rsidR="00147DE8" w:rsidRDefault="00147DE8" w:rsidP="00F21EF3">
      <w:pPr>
        <w:pStyle w:val="ListParagraph"/>
        <w:ind w:left="1080"/>
      </w:pPr>
    </w:p>
    <w:p w:rsidR="00285150" w:rsidRDefault="00285150" w:rsidP="00F21EF3">
      <w:pPr>
        <w:numPr>
          <w:ilvl w:val="0"/>
          <w:numId w:val="31"/>
        </w:numPr>
        <w:tabs>
          <w:tab w:val="clear" w:pos="1080"/>
          <w:tab w:val="num" w:pos="360"/>
        </w:tabs>
        <w:ind w:left="720"/>
      </w:pPr>
      <w:r w:rsidRPr="009D5C0A">
        <w:t>Preference for geographical movement</w:t>
      </w:r>
    </w:p>
    <w:p w:rsidR="00147DE8" w:rsidRDefault="00147DE8" w:rsidP="00F21EF3">
      <w:pPr>
        <w:pStyle w:val="ListParagraph"/>
        <w:ind w:left="1080"/>
      </w:pPr>
    </w:p>
    <w:p w:rsidR="00285150" w:rsidRDefault="00285150" w:rsidP="00F21EF3">
      <w:pPr>
        <w:numPr>
          <w:ilvl w:val="0"/>
          <w:numId w:val="31"/>
        </w:numPr>
        <w:tabs>
          <w:tab w:val="clear" w:pos="1080"/>
          <w:tab w:val="num" w:pos="360"/>
        </w:tabs>
        <w:ind w:left="720"/>
      </w:pPr>
      <w:r w:rsidRPr="009D5C0A">
        <w:t>Time in an executive position should normally not exceed 4 years</w:t>
      </w:r>
    </w:p>
    <w:p w:rsidR="00147DE8" w:rsidRDefault="00147DE8" w:rsidP="00F21EF3">
      <w:pPr>
        <w:pStyle w:val="ListParagraph"/>
        <w:ind w:left="1080"/>
      </w:pPr>
    </w:p>
    <w:p w:rsidR="00285150" w:rsidRDefault="00285150" w:rsidP="00F21EF3">
      <w:pPr>
        <w:numPr>
          <w:ilvl w:val="0"/>
          <w:numId w:val="31"/>
        </w:numPr>
        <w:tabs>
          <w:tab w:val="clear" w:pos="1080"/>
          <w:tab w:val="num" w:pos="360"/>
        </w:tabs>
        <w:ind w:left="720"/>
      </w:pPr>
      <w:r w:rsidRPr="009D5C0A">
        <w:t>Time in a single organization should normally not exceed 6 years</w:t>
      </w:r>
    </w:p>
    <w:p w:rsidR="00147DE8" w:rsidRDefault="00147DE8" w:rsidP="00F21EF3">
      <w:pPr>
        <w:pStyle w:val="ListParagraph"/>
        <w:ind w:left="1080"/>
      </w:pPr>
    </w:p>
    <w:p w:rsidR="00285150" w:rsidRDefault="00F21EF3" w:rsidP="00F21EF3">
      <w:pPr>
        <w:numPr>
          <w:ilvl w:val="0"/>
          <w:numId w:val="31"/>
        </w:numPr>
        <w:tabs>
          <w:tab w:val="clear" w:pos="1080"/>
          <w:tab w:val="num" w:pos="360"/>
        </w:tabs>
        <w:ind w:left="720"/>
      </w:pPr>
      <w:r>
        <w:t>I</w:t>
      </w:r>
      <w:r w:rsidR="00285150" w:rsidRPr="009D5C0A">
        <w:t>nput from executives regarding personal career interests (i.e., different position, organization, geographic location, line of work)</w:t>
      </w:r>
    </w:p>
    <w:p w:rsidR="00147DE8" w:rsidRDefault="00147DE8" w:rsidP="00F21EF3">
      <w:pPr>
        <w:pStyle w:val="ListParagraph"/>
        <w:ind w:left="1080"/>
      </w:pPr>
    </w:p>
    <w:p w:rsidR="00285150" w:rsidRDefault="00B74769" w:rsidP="00F21EF3">
      <w:pPr>
        <w:numPr>
          <w:ilvl w:val="0"/>
          <w:numId w:val="31"/>
        </w:numPr>
        <w:tabs>
          <w:tab w:val="clear" w:pos="1080"/>
          <w:tab w:val="num" w:pos="360"/>
        </w:tabs>
        <w:ind w:left="720"/>
        <w:rPr>
          <w:strike/>
        </w:rPr>
      </w:pPr>
      <w:r w:rsidRPr="005E442E">
        <w:t>D</w:t>
      </w:r>
      <w:r w:rsidR="00285150" w:rsidRPr="005E442E">
        <w:t>i</w:t>
      </w:r>
      <w:r w:rsidR="00285150" w:rsidRPr="009D5C0A">
        <w:t>versity</w:t>
      </w:r>
      <w:r w:rsidR="00285150" w:rsidRPr="00B74769">
        <w:rPr>
          <w:strike/>
        </w:rPr>
        <w:t xml:space="preserve"> </w:t>
      </w:r>
    </w:p>
    <w:p w:rsidR="00147DE8" w:rsidRDefault="00147DE8" w:rsidP="00147DE8">
      <w:pPr>
        <w:pStyle w:val="ListParagraph"/>
        <w:rPr>
          <w:strike/>
        </w:rPr>
      </w:pPr>
    </w:p>
    <w:p w:rsidR="00285150" w:rsidRDefault="00F21EF3" w:rsidP="00F21EF3">
      <w:pPr>
        <w:numPr>
          <w:ilvl w:val="0"/>
          <w:numId w:val="31"/>
        </w:numPr>
        <w:tabs>
          <w:tab w:val="clear" w:pos="1080"/>
          <w:tab w:val="num" w:pos="720"/>
        </w:tabs>
        <w:ind w:left="720"/>
      </w:pPr>
      <w:r>
        <w:t xml:space="preserve">Whether new opportunities may contribute to retaining </w:t>
      </w:r>
      <w:r w:rsidR="00285150" w:rsidRPr="009D5C0A">
        <w:t xml:space="preserve">individuals with near-term retirement plans.  </w:t>
      </w:r>
    </w:p>
    <w:p w:rsidR="00147DE8" w:rsidRDefault="00147DE8" w:rsidP="00F21EF3">
      <w:pPr>
        <w:pStyle w:val="ListParagraph"/>
        <w:ind w:left="1080"/>
      </w:pPr>
    </w:p>
    <w:p w:rsidR="00285150" w:rsidRPr="009D5C0A" w:rsidRDefault="00DC0CA1" w:rsidP="00F21EF3">
      <w:pPr>
        <w:numPr>
          <w:ilvl w:val="0"/>
          <w:numId w:val="31"/>
        </w:numPr>
        <w:tabs>
          <w:tab w:val="clear" w:pos="1080"/>
          <w:tab w:val="num" w:pos="360"/>
        </w:tabs>
        <w:ind w:left="720"/>
      </w:pPr>
      <w:r>
        <w:t>SES</w:t>
      </w:r>
      <w:r w:rsidR="00285150" w:rsidRPr="009D5C0A">
        <w:t xml:space="preserve">CDP graduates/participants not yet placed </w:t>
      </w:r>
    </w:p>
    <w:p w:rsidR="00285150" w:rsidRDefault="00285150" w:rsidP="00285150"/>
    <w:p w:rsidR="00526F22" w:rsidRDefault="00526F22">
      <w:pPr>
        <w:rPr>
          <w:b/>
          <w:u w:val="single"/>
        </w:rPr>
      </w:pPr>
    </w:p>
    <w:p w:rsidR="008E080D" w:rsidRPr="008E080D" w:rsidRDefault="00557F0F" w:rsidP="008E080D">
      <w:pPr>
        <w:jc w:val="center"/>
        <w:rPr>
          <w:b/>
          <w:u w:val="single"/>
        </w:rPr>
      </w:pPr>
      <w:r>
        <w:rPr>
          <w:b/>
          <w:u w:val="single"/>
        </w:rPr>
        <w:t xml:space="preserve">Succession Planning </w:t>
      </w:r>
      <w:r w:rsidR="004C0260">
        <w:rPr>
          <w:b/>
          <w:u w:val="single"/>
        </w:rPr>
        <w:t>Schedule</w:t>
      </w:r>
    </w:p>
    <w:p w:rsidR="007F3580" w:rsidRDefault="007F3580" w:rsidP="007F358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2978"/>
      </w:tblGrid>
      <w:tr w:rsidR="007F3580" w:rsidTr="0074115B">
        <w:trPr>
          <w:cantSplit/>
          <w:tblHeader/>
        </w:trPr>
        <w:tc>
          <w:tcPr>
            <w:tcW w:w="5878" w:type="dxa"/>
            <w:tcBorders>
              <w:bottom w:val="single" w:sz="4" w:space="0" w:color="auto"/>
            </w:tcBorders>
          </w:tcPr>
          <w:p w:rsidR="007F3580" w:rsidRPr="0074115B" w:rsidRDefault="007F3580" w:rsidP="0074115B">
            <w:pPr>
              <w:jc w:val="center"/>
              <w:rPr>
                <w:b/>
              </w:rPr>
            </w:pPr>
            <w:r w:rsidRPr="0074115B">
              <w:rPr>
                <w:b/>
              </w:rPr>
              <w:t>Action Item</w:t>
            </w:r>
          </w:p>
        </w:tc>
        <w:tc>
          <w:tcPr>
            <w:tcW w:w="2978" w:type="dxa"/>
            <w:tcBorders>
              <w:bottom w:val="single" w:sz="4" w:space="0" w:color="auto"/>
            </w:tcBorders>
          </w:tcPr>
          <w:p w:rsidR="007F3580" w:rsidRPr="0074115B" w:rsidRDefault="007F3580" w:rsidP="0074115B">
            <w:pPr>
              <w:jc w:val="center"/>
              <w:rPr>
                <w:b/>
              </w:rPr>
            </w:pPr>
            <w:r w:rsidRPr="0074115B">
              <w:rPr>
                <w:b/>
              </w:rPr>
              <w:t>Target Completion Date</w:t>
            </w:r>
          </w:p>
        </w:tc>
      </w:tr>
      <w:tr w:rsidR="00504CF3" w:rsidTr="0074115B">
        <w:tc>
          <w:tcPr>
            <w:tcW w:w="8856" w:type="dxa"/>
            <w:gridSpan w:val="2"/>
            <w:shd w:val="clear" w:color="auto" w:fill="E6E6E6"/>
          </w:tcPr>
          <w:p w:rsidR="00504CF3" w:rsidRDefault="00504CF3" w:rsidP="0074115B">
            <w:pPr>
              <w:jc w:val="center"/>
            </w:pPr>
            <w:r>
              <w:t>Preparation</w:t>
            </w:r>
          </w:p>
        </w:tc>
      </w:tr>
      <w:tr w:rsidR="00310105" w:rsidTr="0074115B">
        <w:tc>
          <w:tcPr>
            <w:tcW w:w="5878" w:type="dxa"/>
          </w:tcPr>
          <w:p w:rsidR="00310105" w:rsidRDefault="00310105" w:rsidP="0082714F"/>
          <w:p w:rsidR="00310105" w:rsidRDefault="00310105" w:rsidP="00471006">
            <w:r>
              <w:t>Executives and SES</w:t>
            </w:r>
            <w:r w:rsidRPr="00DA1F1E">
              <w:t xml:space="preserve">CDP graduates </w:t>
            </w:r>
            <w:r>
              <w:t>complete career interest forms, return them to OCHCO (</w:t>
            </w:r>
            <w:r w:rsidR="00471006">
              <w:t>Amanda Noonan</w:t>
            </w:r>
            <w:r>
              <w:t xml:space="preserve">), </w:t>
            </w:r>
            <w:r w:rsidRPr="00DA1F1E">
              <w:t>and</w:t>
            </w:r>
            <w:r>
              <w:t xml:space="preserve"> provide</w:t>
            </w:r>
            <w:r w:rsidRPr="00DA1F1E">
              <w:t xml:space="preserve"> a copy of the form to the individual’s OD/RA</w:t>
            </w:r>
          </w:p>
        </w:tc>
        <w:tc>
          <w:tcPr>
            <w:tcW w:w="2978" w:type="dxa"/>
          </w:tcPr>
          <w:p w:rsidR="00310105" w:rsidRDefault="00310105" w:rsidP="0082714F">
            <w:pPr>
              <w:jc w:val="center"/>
            </w:pPr>
          </w:p>
          <w:p w:rsidR="00310105" w:rsidRDefault="00471006" w:rsidP="00E60610">
            <w:pPr>
              <w:jc w:val="center"/>
            </w:pPr>
            <w:r>
              <w:t>April 8, 2016</w:t>
            </w:r>
          </w:p>
        </w:tc>
      </w:tr>
      <w:tr w:rsidR="00310105" w:rsidTr="0074115B">
        <w:tc>
          <w:tcPr>
            <w:tcW w:w="5878" w:type="dxa"/>
          </w:tcPr>
          <w:p w:rsidR="00310105" w:rsidRDefault="00310105" w:rsidP="00F139DE"/>
          <w:p w:rsidR="00310105" w:rsidRDefault="00310105" w:rsidP="00471006">
            <w:r>
              <w:t xml:space="preserve">Office Directors/Regional Administrators provide advance succession </w:t>
            </w:r>
            <w:r w:rsidR="00471006">
              <w:t>planning input to OCHCO (Amanda Noonan</w:t>
            </w:r>
            <w:r>
              <w:t>)</w:t>
            </w:r>
          </w:p>
        </w:tc>
        <w:tc>
          <w:tcPr>
            <w:tcW w:w="2978" w:type="dxa"/>
          </w:tcPr>
          <w:p w:rsidR="00310105" w:rsidRDefault="00310105" w:rsidP="00F139DE">
            <w:pPr>
              <w:jc w:val="center"/>
            </w:pPr>
          </w:p>
          <w:p w:rsidR="00310105" w:rsidRDefault="00471006" w:rsidP="00310105">
            <w:pPr>
              <w:jc w:val="center"/>
            </w:pPr>
            <w:r>
              <w:t>April 11, 2016</w:t>
            </w:r>
          </w:p>
        </w:tc>
      </w:tr>
      <w:tr w:rsidR="00310105" w:rsidTr="0074115B">
        <w:tc>
          <w:tcPr>
            <w:tcW w:w="5878" w:type="dxa"/>
            <w:tcBorders>
              <w:bottom w:val="single" w:sz="4" w:space="0" w:color="auto"/>
            </w:tcBorders>
          </w:tcPr>
          <w:p w:rsidR="00310105" w:rsidRDefault="00310105" w:rsidP="00C479DC"/>
          <w:p w:rsidR="00310105" w:rsidRDefault="00310105" w:rsidP="00C479DC">
            <w:r>
              <w:t>OCHCO:</w:t>
            </w:r>
          </w:p>
          <w:p w:rsidR="00310105" w:rsidRDefault="00310105" w:rsidP="00C479DC">
            <w:r>
              <w:t xml:space="preserve">-  </w:t>
            </w:r>
            <w:r w:rsidR="00E41ADE">
              <w:t>C</w:t>
            </w:r>
            <w:r>
              <w:t>onsolidates succession planning input and provides to ERB members.</w:t>
            </w:r>
          </w:p>
          <w:p w:rsidR="00310105" w:rsidRDefault="00310105" w:rsidP="00572180"/>
          <w:p w:rsidR="00310105" w:rsidRDefault="00E41ADE" w:rsidP="00B07827">
            <w:r>
              <w:t>-  U</w:t>
            </w:r>
            <w:r w:rsidR="00310105">
              <w:t>pdates spreadsheet with background information on executives and SESCDP graduates/participants (i.e., time in position/office, retirement and mobility</w:t>
            </w:r>
            <w:r w:rsidR="00471006">
              <w:t xml:space="preserve"> information, summary of 2016</w:t>
            </w:r>
            <w:r w:rsidR="00310105">
              <w:t xml:space="preserve"> career interest information, etc.) and provides to ERB members</w:t>
            </w:r>
          </w:p>
        </w:tc>
        <w:tc>
          <w:tcPr>
            <w:tcW w:w="2978" w:type="dxa"/>
            <w:tcBorders>
              <w:bottom w:val="single" w:sz="4" w:space="0" w:color="auto"/>
            </w:tcBorders>
          </w:tcPr>
          <w:p w:rsidR="00310105" w:rsidRDefault="00310105" w:rsidP="00855A42">
            <w:pPr>
              <w:jc w:val="center"/>
            </w:pPr>
          </w:p>
          <w:p w:rsidR="00310105" w:rsidRDefault="0061685F" w:rsidP="00331B70">
            <w:pPr>
              <w:jc w:val="center"/>
            </w:pPr>
            <w:r>
              <w:t>April 26</w:t>
            </w:r>
            <w:r w:rsidR="00471006">
              <w:t>, 2016</w:t>
            </w:r>
          </w:p>
        </w:tc>
      </w:tr>
      <w:tr w:rsidR="00310105" w:rsidTr="0074115B">
        <w:tc>
          <w:tcPr>
            <w:tcW w:w="8856" w:type="dxa"/>
            <w:gridSpan w:val="2"/>
            <w:shd w:val="clear" w:color="auto" w:fill="E6E6E6"/>
          </w:tcPr>
          <w:p w:rsidR="00310105" w:rsidRDefault="00310105" w:rsidP="0074115B">
            <w:pPr>
              <w:jc w:val="center"/>
            </w:pPr>
            <w:r>
              <w:t>Succession Planning Meeting</w:t>
            </w:r>
            <w:r w:rsidR="00012624">
              <w:t>s</w:t>
            </w:r>
          </w:p>
        </w:tc>
      </w:tr>
      <w:tr w:rsidR="00310105" w:rsidTr="0074115B">
        <w:tc>
          <w:tcPr>
            <w:tcW w:w="5878" w:type="dxa"/>
            <w:tcBorders>
              <w:bottom w:val="single" w:sz="4" w:space="0" w:color="auto"/>
            </w:tcBorders>
          </w:tcPr>
          <w:p w:rsidR="00310105" w:rsidRDefault="00310105" w:rsidP="00C06D26"/>
          <w:p w:rsidR="00310105" w:rsidRDefault="00310105" w:rsidP="00C06D26">
            <w:r>
              <w:t>ERB members</w:t>
            </w:r>
            <w:r w:rsidR="00471006">
              <w:t xml:space="preserve"> review</w:t>
            </w:r>
            <w:r>
              <w:t>:</w:t>
            </w:r>
          </w:p>
          <w:p w:rsidR="00471006" w:rsidRDefault="00471006" w:rsidP="00C06D26">
            <w:r>
              <w:t>- Expected Outcomes</w:t>
            </w:r>
          </w:p>
          <w:p w:rsidR="00471006" w:rsidRDefault="00471006" w:rsidP="00C06D26">
            <w:r>
              <w:t xml:space="preserve">- Roles and Responsibilities </w:t>
            </w:r>
          </w:p>
          <w:p w:rsidR="00310105" w:rsidRDefault="00310105" w:rsidP="00C06D26">
            <w:r>
              <w:t xml:space="preserve">- </w:t>
            </w:r>
            <w:r w:rsidR="00471006">
              <w:t>S</w:t>
            </w:r>
            <w:r>
              <w:t>uccession planning guidelines</w:t>
            </w:r>
          </w:p>
          <w:p w:rsidR="00310105" w:rsidRDefault="00310105" w:rsidP="00C06D26"/>
          <w:p w:rsidR="00310105" w:rsidRDefault="00310105" w:rsidP="00C06D26">
            <w:r>
              <w:t>- Discuss:</w:t>
            </w:r>
          </w:p>
          <w:p w:rsidR="00310105" w:rsidRPr="00C82327" w:rsidRDefault="00310105" w:rsidP="007810A9">
            <w:pPr>
              <w:numPr>
                <w:ilvl w:val="0"/>
                <w:numId w:val="25"/>
              </w:numPr>
            </w:pPr>
            <w:r>
              <w:t>Each executive’s demonstration of exceptional leadership competencies</w:t>
            </w:r>
          </w:p>
          <w:p w:rsidR="00310105" w:rsidRPr="00012624" w:rsidRDefault="00310105" w:rsidP="007810A9">
            <w:pPr>
              <w:numPr>
                <w:ilvl w:val="0"/>
                <w:numId w:val="25"/>
              </w:numPr>
              <w:rPr>
                <w:u w:val="single"/>
              </w:rPr>
            </w:pPr>
            <w:r>
              <w:t>Each executive’s development needs</w:t>
            </w:r>
          </w:p>
          <w:p w:rsidR="00012624" w:rsidRDefault="00012624" w:rsidP="00012624"/>
          <w:p w:rsidR="00012624" w:rsidRDefault="00012624" w:rsidP="00012624">
            <w:r>
              <w:t xml:space="preserve">      The discussion will focus on Division Directors and </w:t>
            </w:r>
          </w:p>
          <w:p w:rsidR="00012624" w:rsidRPr="006E14F8" w:rsidRDefault="004E7D2B" w:rsidP="00012624">
            <w:pPr>
              <w:rPr>
                <w:u w:val="single"/>
              </w:rPr>
            </w:pPr>
            <w:r>
              <w:t xml:space="preserve">      Deputy Division Directors</w:t>
            </w:r>
          </w:p>
          <w:p w:rsidR="006E14F8" w:rsidRDefault="006E14F8" w:rsidP="006E14F8"/>
          <w:p w:rsidR="00310105" w:rsidRPr="00EB30B4" w:rsidRDefault="00310105" w:rsidP="007810A9">
            <w:r w:rsidRPr="00FE1874">
              <w:t>- Identify any positions for which there is little bench strength and begin developing strategies to close gaps.  This includes assessing whether a sufficient number of executives</w:t>
            </w:r>
            <w:r w:rsidR="00B65E08" w:rsidRPr="00FE1874">
              <w:t xml:space="preserve"> (1) have strong exceptional leadership competencies, and (2)</w:t>
            </w:r>
            <w:r w:rsidRPr="00FE1874">
              <w:t xml:space="preserve"> are mobile and have the potential to serve in the future at the Office Director/Regional Administrator level.</w:t>
            </w:r>
          </w:p>
          <w:p w:rsidR="00310105" w:rsidRDefault="00310105" w:rsidP="009F3F2A"/>
          <w:p w:rsidR="00310105" w:rsidRDefault="00310105" w:rsidP="009F3F2A">
            <w:r>
              <w:t xml:space="preserve">- Identify solutions for executives who need a change in assignment and/or other development related to </w:t>
            </w:r>
            <w:r>
              <w:lastRenderedPageBreak/>
              <w:t>exceptional leadership competencies</w:t>
            </w:r>
          </w:p>
          <w:p w:rsidR="00310105" w:rsidRPr="0074115B" w:rsidRDefault="00310105" w:rsidP="009F3F2A">
            <w:pPr>
              <w:rPr>
                <w:u w:val="single"/>
              </w:rPr>
            </w:pPr>
          </w:p>
          <w:p w:rsidR="00310105" w:rsidRPr="00C82327" w:rsidRDefault="00310105" w:rsidP="00557F0F">
            <w:r>
              <w:t xml:space="preserve">- </w:t>
            </w:r>
            <w:r w:rsidRPr="00C82327">
              <w:t xml:space="preserve">Agree on action plan and </w:t>
            </w:r>
            <w:r>
              <w:t>roles/</w:t>
            </w:r>
            <w:r w:rsidRPr="00C82327">
              <w:t>responsibilities for next steps</w:t>
            </w:r>
            <w:r>
              <w:t>:</w:t>
            </w:r>
          </w:p>
          <w:p w:rsidR="00310105" w:rsidRPr="00C82327" w:rsidRDefault="00310105" w:rsidP="00557F0F"/>
          <w:p w:rsidR="00310105" w:rsidRPr="0074115B" w:rsidRDefault="00310105" w:rsidP="0074115B">
            <w:pPr>
              <w:numPr>
                <w:ilvl w:val="0"/>
                <w:numId w:val="24"/>
              </w:numPr>
              <w:rPr>
                <w:u w:val="single"/>
              </w:rPr>
            </w:pPr>
            <w:r>
              <w:t>Identify specific developmental activities</w:t>
            </w:r>
            <w:r w:rsidRPr="00C7702F">
              <w:t xml:space="preserve"> </w:t>
            </w:r>
            <w:r>
              <w:t xml:space="preserve">or assignments </w:t>
            </w:r>
            <w:r w:rsidRPr="005901B0">
              <w:t>and opportunities for collaborative learning for</w:t>
            </w:r>
            <w:r>
              <w:t xml:space="preserve"> remainder of executives</w:t>
            </w:r>
          </w:p>
          <w:p w:rsidR="00310105" w:rsidRPr="0074115B" w:rsidRDefault="00310105" w:rsidP="0074115B">
            <w:pPr>
              <w:numPr>
                <w:ilvl w:val="0"/>
                <w:numId w:val="24"/>
              </w:numPr>
              <w:rPr>
                <w:u w:val="single"/>
              </w:rPr>
            </w:pPr>
            <w:r w:rsidRPr="00C82327">
              <w:t xml:space="preserve">Discuss with </w:t>
            </w:r>
            <w:r>
              <w:t>executives</w:t>
            </w:r>
          </w:p>
          <w:p w:rsidR="00310105" w:rsidRPr="0074115B" w:rsidRDefault="00310105" w:rsidP="0074115B">
            <w:pPr>
              <w:numPr>
                <w:ilvl w:val="0"/>
                <w:numId w:val="24"/>
              </w:numPr>
              <w:rPr>
                <w:u w:val="single"/>
              </w:rPr>
            </w:pPr>
            <w:r>
              <w:t>Prepare and update Executive Development Plans</w:t>
            </w:r>
          </w:p>
          <w:p w:rsidR="00310105" w:rsidRPr="0074115B" w:rsidRDefault="00310105" w:rsidP="0074115B">
            <w:pPr>
              <w:numPr>
                <w:ilvl w:val="0"/>
                <w:numId w:val="24"/>
              </w:numPr>
              <w:rPr>
                <w:u w:val="single"/>
              </w:rPr>
            </w:pPr>
            <w:r>
              <w:t>Follow-up to make decisions on potential reassignments</w:t>
            </w:r>
          </w:p>
          <w:p w:rsidR="00310105" w:rsidRDefault="00310105" w:rsidP="00557F0F"/>
          <w:p w:rsidR="00310105" w:rsidRDefault="00CD1152" w:rsidP="00CD1152">
            <w:r>
              <w:t xml:space="preserve">- Conduct overview and </w:t>
            </w:r>
            <w:r w:rsidR="00310105">
              <w:t>evaluation of succession planning process</w:t>
            </w:r>
            <w:r>
              <w:t>, including recommended process improvements</w:t>
            </w:r>
          </w:p>
        </w:tc>
        <w:tc>
          <w:tcPr>
            <w:tcW w:w="2978" w:type="dxa"/>
            <w:tcBorders>
              <w:bottom w:val="single" w:sz="4" w:space="0" w:color="auto"/>
            </w:tcBorders>
          </w:tcPr>
          <w:p w:rsidR="00310105" w:rsidRDefault="00310105" w:rsidP="0074115B">
            <w:pPr>
              <w:jc w:val="center"/>
            </w:pPr>
          </w:p>
          <w:p w:rsidR="00310105" w:rsidRDefault="00471006" w:rsidP="00471006">
            <w:pPr>
              <w:jc w:val="center"/>
            </w:pPr>
            <w:r>
              <w:t xml:space="preserve">April </w:t>
            </w:r>
            <w:r w:rsidR="00331B70">
              <w:t>2</w:t>
            </w:r>
            <w:r>
              <w:t>8</w:t>
            </w:r>
            <w:r w:rsidR="00331B70">
              <w:t>-</w:t>
            </w:r>
            <w:r>
              <w:t>29</w:t>
            </w:r>
            <w:r w:rsidR="00310105">
              <w:t>, 201</w:t>
            </w:r>
            <w:r>
              <w:t>6</w:t>
            </w:r>
          </w:p>
        </w:tc>
      </w:tr>
      <w:tr w:rsidR="00862540" w:rsidTr="00866E8B">
        <w:tc>
          <w:tcPr>
            <w:tcW w:w="5878" w:type="dxa"/>
            <w:tcBorders>
              <w:bottom w:val="single" w:sz="4" w:space="0" w:color="auto"/>
            </w:tcBorders>
          </w:tcPr>
          <w:p w:rsidR="00862540" w:rsidRDefault="00862540" w:rsidP="00120C18"/>
          <w:p w:rsidR="0083595D" w:rsidRDefault="00862540" w:rsidP="00120C18">
            <w:smartTag w:uri="urn:schemas-microsoft-com:office:smarttags" w:element="stockticker">
              <w:r>
                <w:t>EDO</w:t>
              </w:r>
            </w:smartTag>
            <w:r>
              <w:t>, DEDOs, CFO, GC</w:t>
            </w:r>
            <w:r w:rsidR="0083595D">
              <w:t xml:space="preserve"> will hold a separate top echelon succession meeting to:</w:t>
            </w:r>
          </w:p>
          <w:p w:rsidR="0083595D" w:rsidRDefault="0083595D" w:rsidP="00120C18"/>
          <w:p w:rsidR="0083595D" w:rsidRDefault="0083595D" w:rsidP="0083595D">
            <w:r>
              <w:t>- Discuss:</w:t>
            </w:r>
          </w:p>
          <w:p w:rsidR="0083595D" w:rsidRPr="00C82327" w:rsidRDefault="0083595D" w:rsidP="0083595D">
            <w:pPr>
              <w:numPr>
                <w:ilvl w:val="0"/>
                <w:numId w:val="25"/>
              </w:numPr>
            </w:pPr>
            <w:r>
              <w:t>Each executive’s demonstration of exceptional leadership competencies</w:t>
            </w:r>
          </w:p>
          <w:p w:rsidR="0083595D" w:rsidRPr="0083595D" w:rsidRDefault="0083595D" w:rsidP="0083595D">
            <w:pPr>
              <w:numPr>
                <w:ilvl w:val="0"/>
                <w:numId w:val="25"/>
              </w:numPr>
              <w:rPr>
                <w:u w:val="single"/>
              </w:rPr>
            </w:pPr>
            <w:r>
              <w:t>Each executive’s development needs</w:t>
            </w:r>
          </w:p>
          <w:p w:rsidR="0083595D" w:rsidRDefault="0083595D" w:rsidP="0083595D">
            <w:pPr>
              <w:ind w:left="360"/>
            </w:pPr>
          </w:p>
          <w:p w:rsidR="0083595D" w:rsidRPr="00012624" w:rsidRDefault="0083595D" w:rsidP="0083595D">
            <w:pPr>
              <w:ind w:left="360"/>
              <w:rPr>
                <w:u w:val="single"/>
              </w:rPr>
            </w:pPr>
            <w:r>
              <w:t xml:space="preserve">The discussion will </w:t>
            </w:r>
            <w:r w:rsidR="00A96B62">
              <w:t>focus on Office Directors/Regional Administrators and Deputies</w:t>
            </w:r>
          </w:p>
          <w:p w:rsidR="0083595D" w:rsidRDefault="0083595D" w:rsidP="0083595D"/>
          <w:p w:rsidR="00862540" w:rsidRDefault="00A96B62" w:rsidP="00A96B62">
            <w:r>
              <w:t>- R</w:t>
            </w:r>
            <w:r w:rsidR="00862540">
              <w:t>eview and update potential successors for top echelon positions, strategies to ensure adequate bench strength for these positions, and developmental activities of potential successors</w:t>
            </w:r>
            <w:r w:rsidR="00862540" w:rsidRPr="00557F0F">
              <w:t>.</w:t>
            </w:r>
          </w:p>
          <w:p w:rsidR="00862540" w:rsidRDefault="00862540" w:rsidP="00120C18">
            <w:pPr>
              <w:numPr>
                <w:ilvl w:val="0"/>
                <w:numId w:val="21"/>
              </w:numPr>
            </w:pPr>
            <w:r>
              <w:t>Executive Director for Operations, Deputy Executive Directors for Operations, General Counsel, Chief Financial Officer</w:t>
            </w:r>
          </w:p>
          <w:p w:rsidR="00862540" w:rsidRDefault="00862540" w:rsidP="00120C18">
            <w:pPr>
              <w:numPr>
                <w:ilvl w:val="0"/>
                <w:numId w:val="21"/>
              </w:numPr>
            </w:pPr>
            <w:r>
              <w:t>Major Program Office Directors/Regional Administrators</w:t>
            </w:r>
          </w:p>
          <w:p w:rsidR="00862540" w:rsidRDefault="00335059" w:rsidP="00120C18">
            <w:pPr>
              <w:numPr>
                <w:ilvl w:val="0"/>
                <w:numId w:val="21"/>
              </w:numPr>
            </w:pPr>
            <w:r>
              <w:t>Corporate Support</w:t>
            </w:r>
            <w:r w:rsidR="00862540">
              <w:t xml:space="preserve"> Office Directors </w:t>
            </w:r>
          </w:p>
          <w:p w:rsidR="00662BA8" w:rsidRDefault="00662BA8" w:rsidP="00120C18">
            <w:pPr>
              <w:numPr>
                <w:ilvl w:val="0"/>
                <w:numId w:val="21"/>
              </w:numPr>
            </w:pPr>
            <w:r>
              <w:t>Small Office Directors (e.g., OE, OI)</w:t>
            </w:r>
          </w:p>
        </w:tc>
        <w:tc>
          <w:tcPr>
            <w:tcW w:w="2978" w:type="dxa"/>
            <w:tcBorders>
              <w:bottom w:val="single" w:sz="4" w:space="0" w:color="auto"/>
            </w:tcBorders>
          </w:tcPr>
          <w:p w:rsidR="00862540" w:rsidRDefault="00862540" w:rsidP="00120C18">
            <w:pPr>
              <w:jc w:val="center"/>
            </w:pPr>
          </w:p>
          <w:p w:rsidR="004E7D2B" w:rsidRDefault="00662BA8" w:rsidP="00120C18">
            <w:pPr>
              <w:jc w:val="center"/>
            </w:pPr>
            <w:r>
              <w:t>June 1, 2016</w:t>
            </w:r>
          </w:p>
        </w:tc>
      </w:tr>
      <w:tr w:rsidR="00866E8B" w:rsidTr="00866E8B">
        <w:tc>
          <w:tcPr>
            <w:tcW w:w="8856" w:type="dxa"/>
            <w:gridSpan w:val="2"/>
            <w:shd w:val="clear" w:color="auto" w:fill="D9D9D9" w:themeFill="background1" w:themeFillShade="D9"/>
          </w:tcPr>
          <w:p w:rsidR="00866E8B" w:rsidRDefault="00866E8B" w:rsidP="00335059">
            <w:pPr>
              <w:jc w:val="center"/>
            </w:pPr>
            <w:r>
              <w:t xml:space="preserve">After </w:t>
            </w:r>
            <w:r w:rsidR="00335059">
              <w:t>Succession Planning</w:t>
            </w:r>
            <w:r>
              <w:t xml:space="preserve"> Meeting</w:t>
            </w:r>
            <w:r w:rsidR="00335059">
              <w:t>s</w:t>
            </w:r>
          </w:p>
        </w:tc>
      </w:tr>
      <w:tr w:rsidR="00866E8B" w:rsidTr="0074115B">
        <w:tc>
          <w:tcPr>
            <w:tcW w:w="5878" w:type="dxa"/>
          </w:tcPr>
          <w:p w:rsidR="00866E8B" w:rsidRDefault="00866E8B" w:rsidP="00C06D26"/>
          <w:p w:rsidR="00C56D9B" w:rsidRDefault="00866E8B" w:rsidP="00C06D26">
            <w:r w:rsidRPr="005E442E">
              <w:t>The appropriate ERB Member</w:t>
            </w:r>
            <w:r>
              <w:t>, or their designee,</w:t>
            </w:r>
            <w:r w:rsidRPr="005E442E">
              <w:t xml:space="preserve"> meets with each executive </w:t>
            </w:r>
            <w:r w:rsidR="00C56D9B">
              <w:t xml:space="preserve">in their organization </w:t>
            </w:r>
            <w:r w:rsidRPr="005E442E">
              <w:t>to</w:t>
            </w:r>
            <w:r w:rsidR="00C56D9B">
              <w:t xml:space="preserve"> hold succession planning discussions and provide feedback, and identify any changes to or additional developmental activities.</w:t>
            </w:r>
            <w:r>
              <w:t xml:space="preserve"> </w:t>
            </w:r>
            <w:r w:rsidR="00C56D9B">
              <w:t xml:space="preserve"> </w:t>
            </w:r>
          </w:p>
          <w:p w:rsidR="002876E7" w:rsidRDefault="002876E7" w:rsidP="00C06D26"/>
          <w:p w:rsidR="00866E8B" w:rsidRDefault="006F548F" w:rsidP="002876E7">
            <w:r>
              <w:t xml:space="preserve">The </w:t>
            </w:r>
            <w:r w:rsidRPr="00681A85">
              <w:t xml:space="preserve">EDO or designee, </w:t>
            </w:r>
            <w:r>
              <w:t xml:space="preserve">DEDOs, </w:t>
            </w:r>
            <w:r w:rsidRPr="00681A85">
              <w:t xml:space="preserve">CFO, and GC will hold succession planning </w:t>
            </w:r>
            <w:r>
              <w:t>discussions</w:t>
            </w:r>
            <w:r w:rsidRPr="00681A85">
              <w:t xml:space="preserve"> with the top echelon of executives in their respective organizations</w:t>
            </w:r>
            <w:r>
              <w:t>.</w:t>
            </w:r>
          </w:p>
        </w:tc>
        <w:tc>
          <w:tcPr>
            <w:tcW w:w="2978" w:type="dxa"/>
          </w:tcPr>
          <w:p w:rsidR="00866E8B" w:rsidRDefault="00866E8B" w:rsidP="0074115B">
            <w:pPr>
              <w:jc w:val="center"/>
            </w:pPr>
          </w:p>
          <w:p w:rsidR="00866E8B" w:rsidRDefault="00335059" w:rsidP="00612A9E">
            <w:pPr>
              <w:jc w:val="center"/>
            </w:pPr>
            <w:r>
              <w:t>June 10, 2016</w:t>
            </w:r>
          </w:p>
          <w:p w:rsidR="002876E7" w:rsidRDefault="002876E7" w:rsidP="00612A9E">
            <w:pPr>
              <w:jc w:val="center"/>
            </w:pPr>
          </w:p>
          <w:p w:rsidR="002876E7" w:rsidRDefault="002876E7" w:rsidP="00612A9E">
            <w:pPr>
              <w:jc w:val="center"/>
            </w:pPr>
          </w:p>
          <w:p w:rsidR="002876E7" w:rsidRDefault="002876E7" w:rsidP="00E41ADE"/>
          <w:p w:rsidR="002876E7" w:rsidRDefault="002876E7" w:rsidP="00612A9E">
            <w:pPr>
              <w:jc w:val="center"/>
            </w:pPr>
          </w:p>
          <w:p w:rsidR="002876E7" w:rsidRDefault="002876E7" w:rsidP="00612A9E">
            <w:pPr>
              <w:jc w:val="center"/>
            </w:pPr>
          </w:p>
          <w:p w:rsidR="002876E7" w:rsidRDefault="00A96B62" w:rsidP="00612A9E">
            <w:pPr>
              <w:jc w:val="center"/>
            </w:pPr>
            <w:r>
              <w:t>TBD</w:t>
            </w:r>
          </w:p>
        </w:tc>
      </w:tr>
      <w:tr w:rsidR="00866E8B" w:rsidTr="0074115B">
        <w:tc>
          <w:tcPr>
            <w:tcW w:w="5878" w:type="dxa"/>
          </w:tcPr>
          <w:p w:rsidR="00866E8B" w:rsidRDefault="00866E8B" w:rsidP="006E14F8"/>
          <w:p w:rsidR="00866E8B" w:rsidRDefault="00866E8B" w:rsidP="006E14F8">
            <w:r>
              <w:t xml:space="preserve">Each executive works with his or her supervisor or Office </w:t>
            </w:r>
            <w:r>
              <w:lastRenderedPageBreak/>
              <w:t xml:space="preserve">Director/Regional Administrator to create/update an Executive Development Plan </w:t>
            </w:r>
          </w:p>
        </w:tc>
        <w:tc>
          <w:tcPr>
            <w:tcW w:w="2978" w:type="dxa"/>
          </w:tcPr>
          <w:p w:rsidR="00AA45F5" w:rsidRDefault="00AA45F5" w:rsidP="001305FF">
            <w:pPr>
              <w:jc w:val="center"/>
            </w:pPr>
          </w:p>
          <w:p w:rsidR="00866E8B" w:rsidRDefault="00335059" w:rsidP="0090383F">
            <w:pPr>
              <w:jc w:val="center"/>
            </w:pPr>
            <w:r>
              <w:t>July 11, 2016</w:t>
            </w:r>
          </w:p>
        </w:tc>
      </w:tr>
      <w:tr w:rsidR="00866E8B" w:rsidTr="0074115B">
        <w:tc>
          <w:tcPr>
            <w:tcW w:w="5878" w:type="dxa"/>
          </w:tcPr>
          <w:p w:rsidR="00051156" w:rsidRDefault="00AA45F5" w:rsidP="00256DFC">
            <w:r>
              <w:lastRenderedPageBreak/>
              <w:br w:type="page"/>
            </w:r>
          </w:p>
          <w:p w:rsidR="00051156" w:rsidRDefault="00866E8B" w:rsidP="00051156">
            <w:r>
              <w:t>Offices and Regions send a copy of updated</w:t>
            </w:r>
            <w:r w:rsidR="0090383F">
              <w:t>, signed</w:t>
            </w:r>
            <w:r>
              <w:t xml:space="preserve"> </w:t>
            </w:r>
            <w:r w:rsidR="0090383F">
              <w:t>EDPs to OCHCO (Amanda Noonan</w:t>
            </w:r>
            <w:r>
              <w:t>) to coordinate review by the ERB</w:t>
            </w:r>
          </w:p>
          <w:p w:rsidR="00051156" w:rsidRDefault="00051156" w:rsidP="00051156"/>
        </w:tc>
        <w:tc>
          <w:tcPr>
            <w:tcW w:w="2978" w:type="dxa"/>
          </w:tcPr>
          <w:p w:rsidR="00866E8B" w:rsidRDefault="00866E8B" w:rsidP="001305FF">
            <w:pPr>
              <w:jc w:val="center"/>
            </w:pPr>
          </w:p>
          <w:p w:rsidR="00866E8B" w:rsidRDefault="00335059" w:rsidP="00612A9E">
            <w:pPr>
              <w:jc w:val="center"/>
            </w:pPr>
            <w:r>
              <w:t>July 18, 2016</w:t>
            </w:r>
          </w:p>
        </w:tc>
      </w:tr>
      <w:tr w:rsidR="00866E8B" w:rsidTr="0074115B">
        <w:tc>
          <w:tcPr>
            <w:tcW w:w="5878" w:type="dxa"/>
          </w:tcPr>
          <w:p w:rsidR="00866E8B" w:rsidRDefault="00335059" w:rsidP="00C06D26">
            <w:r>
              <w:br w:type="page"/>
            </w:r>
          </w:p>
          <w:p w:rsidR="00866E8B" w:rsidRPr="005901B0" w:rsidRDefault="00866E8B" w:rsidP="00C06D26">
            <w:r>
              <w:t>ERB reviews and approves EDPs for executives using a lead reviewer approach</w:t>
            </w:r>
          </w:p>
        </w:tc>
        <w:tc>
          <w:tcPr>
            <w:tcW w:w="2978" w:type="dxa"/>
          </w:tcPr>
          <w:p w:rsidR="00866E8B" w:rsidRDefault="00866E8B" w:rsidP="0074115B">
            <w:pPr>
              <w:jc w:val="center"/>
            </w:pPr>
          </w:p>
          <w:p w:rsidR="00866E8B" w:rsidRPr="0074115B" w:rsidRDefault="00335059" w:rsidP="00612A9E">
            <w:pPr>
              <w:jc w:val="center"/>
              <w:rPr>
                <w:highlight w:val="yellow"/>
              </w:rPr>
            </w:pPr>
            <w:r>
              <w:t>August</w:t>
            </w:r>
            <w:r w:rsidR="00AB7383">
              <w:t>/September</w:t>
            </w:r>
            <w:r>
              <w:t xml:space="preserve"> 2016</w:t>
            </w:r>
          </w:p>
        </w:tc>
      </w:tr>
      <w:tr w:rsidR="00866E8B" w:rsidTr="0074115B">
        <w:tc>
          <w:tcPr>
            <w:tcW w:w="5878" w:type="dxa"/>
          </w:tcPr>
          <w:p w:rsidR="00866E8B" w:rsidRPr="005901B0" w:rsidRDefault="00866E8B" w:rsidP="00F833D4"/>
          <w:p w:rsidR="00866E8B" w:rsidRDefault="00866E8B" w:rsidP="0048012E">
            <w:r>
              <w:t>Continue</w:t>
            </w:r>
            <w:r w:rsidRPr="005901B0">
              <w:t xml:space="preserve"> 360 degree assessme</w:t>
            </w:r>
            <w:r>
              <w:t>nts and coaching for executives</w:t>
            </w:r>
          </w:p>
        </w:tc>
        <w:tc>
          <w:tcPr>
            <w:tcW w:w="2978" w:type="dxa"/>
          </w:tcPr>
          <w:p w:rsidR="00866E8B" w:rsidRPr="0074115B" w:rsidRDefault="00866E8B" w:rsidP="00F833D4">
            <w:pPr>
              <w:jc w:val="center"/>
              <w:rPr>
                <w:highlight w:val="yellow"/>
              </w:rPr>
            </w:pPr>
          </w:p>
          <w:p w:rsidR="00866E8B" w:rsidRDefault="00866E8B" w:rsidP="0074115B">
            <w:pPr>
              <w:jc w:val="center"/>
            </w:pPr>
            <w:r>
              <w:t>Ongoing</w:t>
            </w:r>
          </w:p>
        </w:tc>
      </w:tr>
      <w:tr w:rsidR="00866E8B" w:rsidTr="0074115B">
        <w:tc>
          <w:tcPr>
            <w:tcW w:w="5878" w:type="dxa"/>
          </w:tcPr>
          <w:p w:rsidR="00866E8B" w:rsidRDefault="00866E8B" w:rsidP="00C06D26">
            <w:r>
              <w:br w:type="page"/>
            </w:r>
          </w:p>
          <w:p w:rsidR="00866E8B" w:rsidRDefault="00866E8B" w:rsidP="00C06D26">
            <w:r>
              <w:t xml:space="preserve">ERB monitors development and consults results of succession planning to guide SES staffing and assignment </w:t>
            </w:r>
            <w:r w:rsidRPr="005E442E">
              <w:t>decisions; ERB shares EDP best practices based on assessment of observations from lead reviewers.</w:t>
            </w:r>
          </w:p>
          <w:p w:rsidR="00866E8B" w:rsidRDefault="00866E8B" w:rsidP="00C06D26"/>
        </w:tc>
        <w:tc>
          <w:tcPr>
            <w:tcW w:w="2978" w:type="dxa"/>
          </w:tcPr>
          <w:p w:rsidR="00866E8B" w:rsidRDefault="00866E8B" w:rsidP="0074115B">
            <w:pPr>
              <w:jc w:val="center"/>
            </w:pPr>
          </w:p>
          <w:p w:rsidR="00866E8B" w:rsidRDefault="00866E8B" w:rsidP="0074115B">
            <w:pPr>
              <w:jc w:val="center"/>
            </w:pPr>
            <w:r>
              <w:t>Ongoing</w:t>
            </w:r>
          </w:p>
        </w:tc>
      </w:tr>
    </w:tbl>
    <w:p w:rsidR="006D7EBC" w:rsidRDefault="006D7EBC" w:rsidP="00D27A24"/>
    <w:sectPr w:rsidR="006D7EBC" w:rsidSect="00526F22">
      <w:headerReference w:type="even" r:id="rId9"/>
      <w:headerReference w:type="default" r:id="rId10"/>
      <w:headerReference w:type="first" r:id="rId1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87" w:rsidRDefault="00A46D87">
      <w:r>
        <w:separator/>
      </w:r>
    </w:p>
  </w:endnote>
  <w:endnote w:type="continuationSeparator" w:id="0">
    <w:p w:rsidR="00A46D87" w:rsidRDefault="00A4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87" w:rsidRDefault="00A46D87">
      <w:r>
        <w:separator/>
      </w:r>
    </w:p>
  </w:footnote>
  <w:footnote w:type="continuationSeparator" w:id="0">
    <w:p w:rsidR="00A46D87" w:rsidRDefault="00A46D87">
      <w:r>
        <w:continuationSeparator/>
      </w:r>
    </w:p>
  </w:footnote>
  <w:footnote w:id="1">
    <w:p w:rsidR="00E17282" w:rsidRDefault="00E17282">
      <w:pPr>
        <w:pStyle w:val="FootnoteText"/>
      </w:pPr>
      <w:r>
        <w:rPr>
          <w:rStyle w:val="FootnoteReference"/>
        </w:rPr>
        <w:footnoteRef/>
      </w:r>
      <w:r>
        <w:t xml:space="preserve"> Required by regulation at 5 CFR 412.401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1D" w:rsidRDefault="004F1BE7" w:rsidP="00B74F00">
    <w:pPr>
      <w:pStyle w:val="Header"/>
      <w:framePr w:wrap="around" w:vAnchor="text" w:hAnchor="margin" w:xAlign="center" w:y="1"/>
      <w:rPr>
        <w:rStyle w:val="PageNumber"/>
      </w:rPr>
    </w:pPr>
    <w:r>
      <w:rPr>
        <w:rStyle w:val="PageNumber"/>
      </w:rPr>
      <w:fldChar w:fldCharType="begin"/>
    </w:r>
    <w:r w:rsidR="00A8181D">
      <w:rPr>
        <w:rStyle w:val="PageNumber"/>
      </w:rPr>
      <w:instrText xml:space="preserve">PAGE  </w:instrText>
    </w:r>
    <w:r>
      <w:rPr>
        <w:rStyle w:val="PageNumber"/>
      </w:rPr>
      <w:fldChar w:fldCharType="end"/>
    </w:r>
  </w:p>
  <w:p w:rsidR="00A8181D" w:rsidRDefault="00A81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1D" w:rsidRDefault="004F1BE7" w:rsidP="00B74F00">
    <w:pPr>
      <w:pStyle w:val="Header"/>
      <w:framePr w:wrap="around" w:vAnchor="text" w:hAnchor="margin" w:xAlign="center" w:y="1"/>
      <w:rPr>
        <w:rStyle w:val="PageNumber"/>
      </w:rPr>
    </w:pPr>
    <w:r>
      <w:rPr>
        <w:rStyle w:val="PageNumber"/>
      </w:rPr>
      <w:fldChar w:fldCharType="begin"/>
    </w:r>
    <w:r w:rsidR="00A8181D">
      <w:rPr>
        <w:rStyle w:val="PageNumber"/>
      </w:rPr>
      <w:instrText xml:space="preserve">PAGE  </w:instrText>
    </w:r>
    <w:r>
      <w:rPr>
        <w:rStyle w:val="PageNumber"/>
      </w:rPr>
      <w:fldChar w:fldCharType="separate"/>
    </w:r>
    <w:r w:rsidR="007466F3">
      <w:rPr>
        <w:rStyle w:val="PageNumber"/>
        <w:noProof/>
      </w:rPr>
      <w:t>5</w:t>
    </w:r>
    <w:r>
      <w:rPr>
        <w:rStyle w:val="PageNumber"/>
      </w:rPr>
      <w:fldChar w:fldCharType="end"/>
    </w:r>
  </w:p>
  <w:p w:rsidR="00A8181D" w:rsidRDefault="00A8181D" w:rsidP="00F842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9B" w:rsidRDefault="001000F0" w:rsidP="00840D73">
    <w:pPr>
      <w:pStyle w:val="Header"/>
      <w:jc w:val="right"/>
    </w:pPr>
    <w:r>
      <w:t>0</w:t>
    </w:r>
    <w:r w:rsidR="002B590F">
      <w:t>4/</w:t>
    </w:r>
    <w:r>
      <w:t>20</w:t>
    </w:r>
    <w:r w:rsidR="002B590F">
      <w:t>/2016</w:t>
    </w:r>
  </w:p>
  <w:p w:rsidR="002B590F" w:rsidRPr="009F3F2A" w:rsidRDefault="002B590F" w:rsidP="00840D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E0"/>
    <w:multiLevelType w:val="hybridMultilevel"/>
    <w:tmpl w:val="DDDA7158"/>
    <w:lvl w:ilvl="0" w:tplc="EE92E3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07081"/>
    <w:multiLevelType w:val="hybridMultilevel"/>
    <w:tmpl w:val="A3F6C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1084B"/>
    <w:multiLevelType w:val="hybridMultilevel"/>
    <w:tmpl w:val="C01216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91C365C"/>
    <w:multiLevelType w:val="hybridMultilevel"/>
    <w:tmpl w:val="E02A6D8A"/>
    <w:lvl w:ilvl="0" w:tplc="572C99D4">
      <w:start w:val="200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2B1F85"/>
    <w:multiLevelType w:val="hybridMultilevel"/>
    <w:tmpl w:val="1E1EC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08454B9"/>
    <w:multiLevelType w:val="hybridMultilevel"/>
    <w:tmpl w:val="2990DF74"/>
    <w:lvl w:ilvl="0" w:tplc="8166C0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4A635A"/>
    <w:multiLevelType w:val="hybridMultilevel"/>
    <w:tmpl w:val="90D00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CA7D7D"/>
    <w:multiLevelType w:val="hybridMultilevel"/>
    <w:tmpl w:val="149851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BAF5058"/>
    <w:multiLevelType w:val="hybridMultilevel"/>
    <w:tmpl w:val="24E61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BE6726B"/>
    <w:multiLevelType w:val="hybridMultilevel"/>
    <w:tmpl w:val="3F10D276"/>
    <w:lvl w:ilvl="0" w:tplc="C21671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06E12"/>
    <w:multiLevelType w:val="hybridMultilevel"/>
    <w:tmpl w:val="65689D1E"/>
    <w:lvl w:ilvl="0" w:tplc="8166C0A6">
      <w:start w:val="1"/>
      <w:numFmt w:val="bullet"/>
      <w:lvlText w:val=""/>
      <w:lvlJc w:val="left"/>
      <w:pPr>
        <w:tabs>
          <w:tab w:val="num" w:pos="1080"/>
        </w:tabs>
        <w:ind w:left="1080" w:hanging="360"/>
      </w:pPr>
      <w:rPr>
        <w:rFonts w:ascii="Symbol" w:hAnsi="Symbol" w:hint="default"/>
        <w:color w:val="auto"/>
      </w:rPr>
    </w:lvl>
    <w:lvl w:ilvl="1" w:tplc="18EA3CA2">
      <w:start w:val="2"/>
      <w:numFmt w:val="bullet"/>
      <w:lvlText w:val="-"/>
      <w:lvlJc w:val="left"/>
      <w:pPr>
        <w:tabs>
          <w:tab w:val="num" w:pos="2160"/>
        </w:tabs>
        <w:ind w:left="2160" w:hanging="360"/>
      </w:pPr>
      <w:rPr>
        <w:rFonts w:ascii="Tahoma" w:eastAsia="Times New Roman" w:hAnsi="Tahoma" w:cs="Tahoma" w:hint="default"/>
        <w:color w:val="auto"/>
      </w:rPr>
    </w:lvl>
    <w:lvl w:ilvl="2" w:tplc="8166C0A6">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0866074"/>
    <w:multiLevelType w:val="hybridMultilevel"/>
    <w:tmpl w:val="A858C514"/>
    <w:lvl w:ilvl="0" w:tplc="11E02E5A">
      <w:start w:val="1"/>
      <w:numFmt w:val="bullet"/>
      <w:lvlText w:val="•"/>
      <w:lvlJc w:val="left"/>
      <w:pPr>
        <w:tabs>
          <w:tab w:val="num" w:pos="360"/>
        </w:tabs>
        <w:ind w:left="360" w:hanging="360"/>
      </w:pPr>
      <w:rPr>
        <w:rFonts w:ascii="Arial" w:hAnsi="Arial" w:hint="default"/>
      </w:rPr>
    </w:lvl>
    <w:lvl w:ilvl="1" w:tplc="8AA41FB4">
      <w:start w:val="160"/>
      <w:numFmt w:val="bullet"/>
      <w:lvlText w:val="–"/>
      <w:lvlJc w:val="left"/>
      <w:pPr>
        <w:tabs>
          <w:tab w:val="num" w:pos="1080"/>
        </w:tabs>
        <w:ind w:left="1080" w:hanging="360"/>
      </w:pPr>
      <w:rPr>
        <w:rFonts w:ascii="Arial" w:hAnsi="Arial" w:hint="default"/>
      </w:rPr>
    </w:lvl>
    <w:lvl w:ilvl="2" w:tplc="C37CF972" w:tentative="1">
      <w:start w:val="1"/>
      <w:numFmt w:val="bullet"/>
      <w:lvlText w:val="•"/>
      <w:lvlJc w:val="left"/>
      <w:pPr>
        <w:tabs>
          <w:tab w:val="num" w:pos="1800"/>
        </w:tabs>
        <w:ind w:left="1800" w:hanging="360"/>
      </w:pPr>
      <w:rPr>
        <w:rFonts w:ascii="Arial" w:hAnsi="Arial" w:hint="default"/>
      </w:rPr>
    </w:lvl>
    <w:lvl w:ilvl="3" w:tplc="3D9AC1DA" w:tentative="1">
      <w:start w:val="1"/>
      <w:numFmt w:val="bullet"/>
      <w:lvlText w:val="•"/>
      <w:lvlJc w:val="left"/>
      <w:pPr>
        <w:tabs>
          <w:tab w:val="num" w:pos="2520"/>
        </w:tabs>
        <w:ind w:left="2520" w:hanging="360"/>
      </w:pPr>
      <w:rPr>
        <w:rFonts w:ascii="Arial" w:hAnsi="Arial" w:hint="default"/>
      </w:rPr>
    </w:lvl>
    <w:lvl w:ilvl="4" w:tplc="4F34E800" w:tentative="1">
      <w:start w:val="1"/>
      <w:numFmt w:val="bullet"/>
      <w:lvlText w:val="•"/>
      <w:lvlJc w:val="left"/>
      <w:pPr>
        <w:tabs>
          <w:tab w:val="num" w:pos="3240"/>
        </w:tabs>
        <w:ind w:left="3240" w:hanging="360"/>
      </w:pPr>
      <w:rPr>
        <w:rFonts w:ascii="Arial" w:hAnsi="Arial" w:hint="default"/>
      </w:rPr>
    </w:lvl>
    <w:lvl w:ilvl="5" w:tplc="FD78915A" w:tentative="1">
      <w:start w:val="1"/>
      <w:numFmt w:val="bullet"/>
      <w:lvlText w:val="•"/>
      <w:lvlJc w:val="left"/>
      <w:pPr>
        <w:tabs>
          <w:tab w:val="num" w:pos="3960"/>
        </w:tabs>
        <w:ind w:left="3960" w:hanging="360"/>
      </w:pPr>
      <w:rPr>
        <w:rFonts w:ascii="Arial" w:hAnsi="Arial" w:hint="default"/>
      </w:rPr>
    </w:lvl>
    <w:lvl w:ilvl="6" w:tplc="CC7E93DA" w:tentative="1">
      <w:start w:val="1"/>
      <w:numFmt w:val="bullet"/>
      <w:lvlText w:val="•"/>
      <w:lvlJc w:val="left"/>
      <w:pPr>
        <w:tabs>
          <w:tab w:val="num" w:pos="4680"/>
        </w:tabs>
        <w:ind w:left="4680" w:hanging="360"/>
      </w:pPr>
      <w:rPr>
        <w:rFonts w:ascii="Arial" w:hAnsi="Arial" w:hint="default"/>
      </w:rPr>
    </w:lvl>
    <w:lvl w:ilvl="7" w:tplc="7C88005C" w:tentative="1">
      <w:start w:val="1"/>
      <w:numFmt w:val="bullet"/>
      <w:lvlText w:val="•"/>
      <w:lvlJc w:val="left"/>
      <w:pPr>
        <w:tabs>
          <w:tab w:val="num" w:pos="5400"/>
        </w:tabs>
        <w:ind w:left="5400" w:hanging="360"/>
      </w:pPr>
      <w:rPr>
        <w:rFonts w:ascii="Arial" w:hAnsi="Arial" w:hint="default"/>
      </w:rPr>
    </w:lvl>
    <w:lvl w:ilvl="8" w:tplc="1430FD84" w:tentative="1">
      <w:start w:val="1"/>
      <w:numFmt w:val="bullet"/>
      <w:lvlText w:val="•"/>
      <w:lvlJc w:val="left"/>
      <w:pPr>
        <w:tabs>
          <w:tab w:val="num" w:pos="6120"/>
        </w:tabs>
        <w:ind w:left="6120" w:hanging="360"/>
      </w:pPr>
      <w:rPr>
        <w:rFonts w:ascii="Arial" w:hAnsi="Arial" w:hint="default"/>
      </w:rPr>
    </w:lvl>
  </w:abstractNum>
  <w:abstractNum w:abstractNumId="12">
    <w:nsid w:val="209C3BC1"/>
    <w:multiLevelType w:val="hybridMultilevel"/>
    <w:tmpl w:val="F9AA7D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3966212"/>
    <w:multiLevelType w:val="hybridMultilevel"/>
    <w:tmpl w:val="1B9A30B6"/>
    <w:lvl w:ilvl="0" w:tplc="8166C0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048BA"/>
    <w:multiLevelType w:val="hybridMultilevel"/>
    <w:tmpl w:val="97FC04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76A49C8"/>
    <w:multiLevelType w:val="hybridMultilevel"/>
    <w:tmpl w:val="9BA482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CF44D8F"/>
    <w:multiLevelType w:val="hybridMultilevel"/>
    <w:tmpl w:val="583A2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5E2F63"/>
    <w:multiLevelType w:val="hybridMultilevel"/>
    <w:tmpl w:val="67A22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F3495F"/>
    <w:multiLevelType w:val="hybridMultilevel"/>
    <w:tmpl w:val="1396D546"/>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9A923848">
      <w:start w:val="3"/>
      <w:numFmt w:val="bullet"/>
      <w:lvlText w:val="•"/>
      <w:lvlJc w:val="left"/>
      <w:pPr>
        <w:ind w:left="2790" w:hanging="720"/>
      </w:pPr>
      <w:rPr>
        <w:rFonts w:ascii="Arial" w:eastAsiaTheme="minorHAnsi" w:hAnsi="Arial" w:cs="Arial"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3463051B"/>
    <w:multiLevelType w:val="hybridMultilevel"/>
    <w:tmpl w:val="94DE6CE4"/>
    <w:lvl w:ilvl="0" w:tplc="8166C0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562C7"/>
    <w:multiLevelType w:val="hybridMultilevel"/>
    <w:tmpl w:val="8E1EA200"/>
    <w:lvl w:ilvl="0" w:tplc="58AE87FC">
      <w:start w:val="1"/>
      <w:numFmt w:val="bullet"/>
      <w:lvlText w:val="•"/>
      <w:lvlJc w:val="left"/>
      <w:pPr>
        <w:tabs>
          <w:tab w:val="num" w:pos="720"/>
        </w:tabs>
        <w:ind w:left="720" w:hanging="360"/>
      </w:pPr>
      <w:rPr>
        <w:rFonts w:ascii="Arial" w:hAnsi="Arial" w:hint="default"/>
      </w:rPr>
    </w:lvl>
    <w:lvl w:ilvl="1" w:tplc="669492F2">
      <w:start w:val="2919"/>
      <w:numFmt w:val="bullet"/>
      <w:lvlText w:val="–"/>
      <w:lvlJc w:val="left"/>
      <w:pPr>
        <w:tabs>
          <w:tab w:val="num" w:pos="1440"/>
        </w:tabs>
        <w:ind w:left="1440" w:hanging="360"/>
      </w:pPr>
      <w:rPr>
        <w:rFonts w:ascii="Arial" w:hAnsi="Arial" w:hint="default"/>
      </w:rPr>
    </w:lvl>
    <w:lvl w:ilvl="2" w:tplc="D2103BAE" w:tentative="1">
      <w:start w:val="1"/>
      <w:numFmt w:val="bullet"/>
      <w:lvlText w:val="•"/>
      <w:lvlJc w:val="left"/>
      <w:pPr>
        <w:tabs>
          <w:tab w:val="num" w:pos="2160"/>
        </w:tabs>
        <w:ind w:left="2160" w:hanging="360"/>
      </w:pPr>
      <w:rPr>
        <w:rFonts w:ascii="Arial" w:hAnsi="Arial" w:hint="default"/>
      </w:rPr>
    </w:lvl>
    <w:lvl w:ilvl="3" w:tplc="CABE6540" w:tentative="1">
      <w:start w:val="1"/>
      <w:numFmt w:val="bullet"/>
      <w:lvlText w:val="•"/>
      <w:lvlJc w:val="left"/>
      <w:pPr>
        <w:tabs>
          <w:tab w:val="num" w:pos="2880"/>
        </w:tabs>
        <w:ind w:left="2880" w:hanging="360"/>
      </w:pPr>
      <w:rPr>
        <w:rFonts w:ascii="Arial" w:hAnsi="Arial" w:hint="default"/>
      </w:rPr>
    </w:lvl>
    <w:lvl w:ilvl="4" w:tplc="D28A6DA2" w:tentative="1">
      <w:start w:val="1"/>
      <w:numFmt w:val="bullet"/>
      <w:lvlText w:val="•"/>
      <w:lvlJc w:val="left"/>
      <w:pPr>
        <w:tabs>
          <w:tab w:val="num" w:pos="3600"/>
        </w:tabs>
        <w:ind w:left="3600" w:hanging="360"/>
      </w:pPr>
      <w:rPr>
        <w:rFonts w:ascii="Arial" w:hAnsi="Arial" w:hint="default"/>
      </w:rPr>
    </w:lvl>
    <w:lvl w:ilvl="5" w:tplc="44D620C2" w:tentative="1">
      <w:start w:val="1"/>
      <w:numFmt w:val="bullet"/>
      <w:lvlText w:val="•"/>
      <w:lvlJc w:val="left"/>
      <w:pPr>
        <w:tabs>
          <w:tab w:val="num" w:pos="4320"/>
        </w:tabs>
        <w:ind w:left="4320" w:hanging="360"/>
      </w:pPr>
      <w:rPr>
        <w:rFonts w:ascii="Arial" w:hAnsi="Arial" w:hint="default"/>
      </w:rPr>
    </w:lvl>
    <w:lvl w:ilvl="6" w:tplc="156C251C" w:tentative="1">
      <w:start w:val="1"/>
      <w:numFmt w:val="bullet"/>
      <w:lvlText w:val="•"/>
      <w:lvlJc w:val="left"/>
      <w:pPr>
        <w:tabs>
          <w:tab w:val="num" w:pos="5040"/>
        </w:tabs>
        <w:ind w:left="5040" w:hanging="360"/>
      </w:pPr>
      <w:rPr>
        <w:rFonts w:ascii="Arial" w:hAnsi="Arial" w:hint="default"/>
      </w:rPr>
    </w:lvl>
    <w:lvl w:ilvl="7" w:tplc="22BA7A68" w:tentative="1">
      <w:start w:val="1"/>
      <w:numFmt w:val="bullet"/>
      <w:lvlText w:val="•"/>
      <w:lvlJc w:val="left"/>
      <w:pPr>
        <w:tabs>
          <w:tab w:val="num" w:pos="5760"/>
        </w:tabs>
        <w:ind w:left="5760" w:hanging="360"/>
      </w:pPr>
      <w:rPr>
        <w:rFonts w:ascii="Arial" w:hAnsi="Arial" w:hint="default"/>
      </w:rPr>
    </w:lvl>
    <w:lvl w:ilvl="8" w:tplc="491AD9EE" w:tentative="1">
      <w:start w:val="1"/>
      <w:numFmt w:val="bullet"/>
      <w:lvlText w:val="•"/>
      <w:lvlJc w:val="left"/>
      <w:pPr>
        <w:tabs>
          <w:tab w:val="num" w:pos="6480"/>
        </w:tabs>
        <w:ind w:left="6480" w:hanging="360"/>
      </w:pPr>
      <w:rPr>
        <w:rFonts w:ascii="Arial" w:hAnsi="Arial" w:hint="default"/>
      </w:rPr>
    </w:lvl>
  </w:abstractNum>
  <w:abstractNum w:abstractNumId="21">
    <w:nsid w:val="3A3E2EA1"/>
    <w:multiLevelType w:val="hybridMultilevel"/>
    <w:tmpl w:val="20DC2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C3B4E"/>
    <w:multiLevelType w:val="hybridMultilevel"/>
    <w:tmpl w:val="A7E8F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B0487D"/>
    <w:multiLevelType w:val="hybridMultilevel"/>
    <w:tmpl w:val="B256FC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01413E"/>
    <w:multiLevelType w:val="hybridMultilevel"/>
    <w:tmpl w:val="F0302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4AF20BC"/>
    <w:multiLevelType w:val="hybridMultilevel"/>
    <w:tmpl w:val="EE22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7D176F"/>
    <w:multiLevelType w:val="hybridMultilevel"/>
    <w:tmpl w:val="4D845A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EBD6A96"/>
    <w:multiLevelType w:val="hybridMultilevel"/>
    <w:tmpl w:val="9EB2BABE"/>
    <w:lvl w:ilvl="0" w:tplc="F298790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03DEE"/>
    <w:multiLevelType w:val="hybridMultilevel"/>
    <w:tmpl w:val="23C21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2973B25"/>
    <w:multiLevelType w:val="multilevel"/>
    <w:tmpl w:val="8B48E7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53E83715"/>
    <w:multiLevelType w:val="hybridMultilevel"/>
    <w:tmpl w:val="DAE8A8CA"/>
    <w:lvl w:ilvl="0" w:tplc="0409000F">
      <w:start w:val="1"/>
      <w:numFmt w:val="decimal"/>
      <w:lvlText w:val="%1."/>
      <w:lvlJc w:val="left"/>
      <w:pPr>
        <w:tabs>
          <w:tab w:val="num" w:pos="990"/>
        </w:tabs>
        <w:ind w:left="990" w:hanging="360"/>
      </w:pPr>
      <w:rPr>
        <w:rFont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nsid w:val="593A54CC"/>
    <w:multiLevelType w:val="hybridMultilevel"/>
    <w:tmpl w:val="90D4AD52"/>
    <w:lvl w:ilvl="0" w:tplc="1598AE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61887006"/>
    <w:multiLevelType w:val="hybridMultilevel"/>
    <w:tmpl w:val="AC7A6E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195675D"/>
    <w:multiLevelType w:val="hybridMultilevel"/>
    <w:tmpl w:val="0722EC8A"/>
    <w:lvl w:ilvl="0" w:tplc="62164DD2">
      <w:start w:val="200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32673FC"/>
    <w:multiLevelType w:val="hybridMultilevel"/>
    <w:tmpl w:val="BEAE9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5E7A4C"/>
    <w:multiLevelType w:val="hybridMultilevel"/>
    <w:tmpl w:val="EC2874AC"/>
    <w:lvl w:ilvl="0" w:tplc="572C99D4">
      <w:start w:val="200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0968CD"/>
    <w:multiLevelType w:val="hybridMultilevel"/>
    <w:tmpl w:val="B7E662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895788C"/>
    <w:multiLevelType w:val="hybridMultilevel"/>
    <w:tmpl w:val="00588100"/>
    <w:lvl w:ilvl="0" w:tplc="47C013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C039A"/>
    <w:multiLevelType w:val="hybridMultilevel"/>
    <w:tmpl w:val="B7CCBA0E"/>
    <w:lvl w:ilvl="0" w:tplc="8166C0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415027"/>
    <w:multiLevelType w:val="hybridMultilevel"/>
    <w:tmpl w:val="1A082184"/>
    <w:lvl w:ilvl="0" w:tplc="8166C0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8957FD"/>
    <w:multiLevelType w:val="hybridMultilevel"/>
    <w:tmpl w:val="D484465E"/>
    <w:lvl w:ilvl="0" w:tplc="8166C0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40"/>
  </w:num>
  <w:num w:numId="4">
    <w:abstractNumId w:val="39"/>
  </w:num>
  <w:num w:numId="5">
    <w:abstractNumId w:val="19"/>
  </w:num>
  <w:num w:numId="6">
    <w:abstractNumId w:val="13"/>
  </w:num>
  <w:num w:numId="7">
    <w:abstractNumId w:val="29"/>
  </w:num>
  <w:num w:numId="8">
    <w:abstractNumId w:val="16"/>
  </w:num>
  <w:num w:numId="9">
    <w:abstractNumId w:val="5"/>
  </w:num>
  <w:num w:numId="10">
    <w:abstractNumId w:val="38"/>
  </w:num>
  <w:num w:numId="11">
    <w:abstractNumId w:val="6"/>
  </w:num>
  <w:num w:numId="12">
    <w:abstractNumId w:val="1"/>
  </w:num>
  <w:num w:numId="13">
    <w:abstractNumId w:val="32"/>
  </w:num>
  <w:num w:numId="14">
    <w:abstractNumId w:val="33"/>
  </w:num>
  <w:num w:numId="15">
    <w:abstractNumId w:val="3"/>
  </w:num>
  <w:num w:numId="16">
    <w:abstractNumId w:val="35"/>
  </w:num>
  <w:num w:numId="17">
    <w:abstractNumId w:val="12"/>
  </w:num>
  <w:num w:numId="18">
    <w:abstractNumId w:val="24"/>
  </w:num>
  <w:num w:numId="19">
    <w:abstractNumId w:val="15"/>
  </w:num>
  <w:num w:numId="20">
    <w:abstractNumId w:val="23"/>
  </w:num>
  <w:num w:numId="21">
    <w:abstractNumId w:val="17"/>
  </w:num>
  <w:num w:numId="22">
    <w:abstractNumId w:val="36"/>
  </w:num>
  <w:num w:numId="23">
    <w:abstractNumId w:val="7"/>
  </w:num>
  <w:num w:numId="24">
    <w:abstractNumId w:val="25"/>
  </w:num>
  <w:num w:numId="25">
    <w:abstractNumId w:val="22"/>
  </w:num>
  <w:num w:numId="26">
    <w:abstractNumId w:val="0"/>
  </w:num>
  <w:num w:numId="27">
    <w:abstractNumId w:val="21"/>
  </w:num>
  <w:num w:numId="28">
    <w:abstractNumId w:val="8"/>
  </w:num>
  <w:num w:numId="29">
    <w:abstractNumId w:val="31"/>
  </w:num>
  <w:num w:numId="30">
    <w:abstractNumId w:val="27"/>
  </w:num>
  <w:num w:numId="31">
    <w:abstractNumId w:val="4"/>
  </w:num>
  <w:num w:numId="32">
    <w:abstractNumId w:val="10"/>
  </w:num>
  <w:num w:numId="33">
    <w:abstractNumId w:val="30"/>
  </w:num>
  <w:num w:numId="34">
    <w:abstractNumId w:val="18"/>
  </w:num>
  <w:num w:numId="35">
    <w:abstractNumId w:val="20"/>
  </w:num>
  <w:num w:numId="36">
    <w:abstractNumId w:val="28"/>
  </w:num>
  <w:num w:numId="37">
    <w:abstractNumId w:val="26"/>
  </w:num>
  <w:num w:numId="38">
    <w:abstractNumId w:val="2"/>
  </w:num>
  <w:num w:numId="39">
    <w:abstractNumId w:val="14"/>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F1"/>
    <w:rsid w:val="0000176D"/>
    <w:rsid w:val="00002E83"/>
    <w:rsid w:val="0000540D"/>
    <w:rsid w:val="00007CAA"/>
    <w:rsid w:val="00011BEE"/>
    <w:rsid w:val="00012624"/>
    <w:rsid w:val="00014165"/>
    <w:rsid w:val="00020BC3"/>
    <w:rsid w:val="00024D4A"/>
    <w:rsid w:val="00041D8B"/>
    <w:rsid w:val="0004333D"/>
    <w:rsid w:val="00051156"/>
    <w:rsid w:val="000618E9"/>
    <w:rsid w:val="00064863"/>
    <w:rsid w:val="0006580C"/>
    <w:rsid w:val="00066567"/>
    <w:rsid w:val="00071046"/>
    <w:rsid w:val="000B23BC"/>
    <w:rsid w:val="000C0465"/>
    <w:rsid w:val="000C273B"/>
    <w:rsid w:val="000C2E5C"/>
    <w:rsid w:val="000C7B43"/>
    <w:rsid w:val="000D7D25"/>
    <w:rsid w:val="000E03E4"/>
    <w:rsid w:val="000F50DA"/>
    <w:rsid w:val="000F6CE6"/>
    <w:rsid w:val="001000F0"/>
    <w:rsid w:val="0010107C"/>
    <w:rsid w:val="00103BBD"/>
    <w:rsid w:val="0010488C"/>
    <w:rsid w:val="00122B33"/>
    <w:rsid w:val="00123634"/>
    <w:rsid w:val="00125C7C"/>
    <w:rsid w:val="001305FF"/>
    <w:rsid w:val="00130E9D"/>
    <w:rsid w:val="00133CEE"/>
    <w:rsid w:val="0013504A"/>
    <w:rsid w:val="001354BA"/>
    <w:rsid w:val="0014741B"/>
    <w:rsid w:val="00147D63"/>
    <w:rsid w:val="00147DE8"/>
    <w:rsid w:val="0015151A"/>
    <w:rsid w:val="00154A8A"/>
    <w:rsid w:val="00161280"/>
    <w:rsid w:val="00163B6B"/>
    <w:rsid w:val="00166772"/>
    <w:rsid w:val="0017496E"/>
    <w:rsid w:val="00176052"/>
    <w:rsid w:val="00184F24"/>
    <w:rsid w:val="00190AC1"/>
    <w:rsid w:val="0019206C"/>
    <w:rsid w:val="0019218E"/>
    <w:rsid w:val="001932EB"/>
    <w:rsid w:val="00194070"/>
    <w:rsid w:val="001A28C2"/>
    <w:rsid w:val="001B1385"/>
    <w:rsid w:val="001C2A36"/>
    <w:rsid w:val="001D0E13"/>
    <w:rsid w:val="001D4CA1"/>
    <w:rsid w:val="001D71C9"/>
    <w:rsid w:val="001E0F2D"/>
    <w:rsid w:val="001E2B6E"/>
    <w:rsid w:val="001F40D2"/>
    <w:rsid w:val="00200B85"/>
    <w:rsid w:val="00217E15"/>
    <w:rsid w:val="0023318C"/>
    <w:rsid w:val="002354F4"/>
    <w:rsid w:val="00236324"/>
    <w:rsid w:val="00256DFC"/>
    <w:rsid w:val="002572CA"/>
    <w:rsid w:val="002614F3"/>
    <w:rsid w:val="00277D00"/>
    <w:rsid w:val="00285150"/>
    <w:rsid w:val="002876E7"/>
    <w:rsid w:val="002878DE"/>
    <w:rsid w:val="002944F4"/>
    <w:rsid w:val="00297AB2"/>
    <w:rsid w:val="002A39B1"/>
    <w:rsid w:val="002A6F1A"/>
    <w:rsid w:val="002B590F"/>
    <w:rsid w:val="002B5ECB"/>
    <w:rsid w:val="002B7923"/>
    <w:rsid w:val="002D3FDD"/>
    <w:rsid w:val="002D6903"/>
    <w:rsid w:val="002E08BB"/>
    <w:rsid w:val="002E0A1D"/>
    <w:rsid w:val="002E5548"/>
    <w:rsid w:val="002F2D20"/>
    <w:rsid w:val="003003C8"/>
    <w:rsid w:val="0030041E"/>
    <w:rsid w:val="00310105"/>
    <w:rsid w:val="00331B70"/>
    <w:rsid w:val="00335059"/>
    <w:rsid w:val="003511BA"/>
    <w:rsid w:val="0036620D"/>
    <w:rsid w:val="00366480"/>
    <w:rsid w:val="003701E3"/>
    <w:rsid w:val="00380A48"/>
    <w:rsid w:val="0038188B"/>
    <w:rsid w:val="00382723"/>
    <w:rsid w:val="00382BE7"/>
    <w:rsid w:val="00386DA9"/>
    <w:rsid w:val="00394EFF"/>
    <w:rsid w:val="00395F38"/>
    <w:rsid w:val="00396129"/>
    <w:rsid w:val="00397B32"/>
    <w:rsid w:val="003C22FE"/>
    <w:rsid w:val="003C6A92"/>
    <w:rsid w:val="003C717A"/>
    <w:rsid w:val="003C78A4"/>
    <w:rsid w:val="003D080F"/>
    <w:rsid w:val="003D592B"/>
    <w:rsid w:val="003E636D"/>
    <w:rsid w:val="003F7D28"/>
    <w:rsid w:val="00403C64"/>
    <w:rsid w:val="00421B87"/>
    <w:rsid w:val="004269C4"/>
    <w:rsid w:val="00434445"/>
    <w:rsid w:val="00440C23"/>
    <w:rsid w:val="00442D87"/>
    <w:rsid w:val="004467F4"/>
    <w:rsid w:val="00446BC9"/>
    <w:rsid w:val="00450FAD"/>
    <w:rsid w:val="004559DF"/>
    <w:rsid w:val="00463026"/>
    <w:rsid w:val="00470509"/>
    <w:rsid w:val="00471006"/>
    <w:rsid w:val="00472F48"/>
    <w:rsid w:val="00473EBF"/>
    <w:rsid w:val="00474F77"/>
    <w:rsid w:val="004776D1"/>
    <w:rsid w:val="0048012E"/>
    <w:rsid w:val="004B2DDE"/>
    <w:rsid w:val="004B2F44"/>
    <w:rsid w:val="004B3530"/>
    <w:rsid w:val="004B51F9"/>
    <w:rsid w:val="004B7BCD"/>
    <w:rsid w:val="004C0260"/>
    <w:rsid w:val="004C6ECF"/>
    <w:rsid w:val="004D74D2"/>
    <w:rsid w:val="004E7D2B"/>
    <w:rsid w:val="004F1BE7"/>
    <w:rsid w:val="004F30CB"/>
    <w:rsid w:val="004F3C42"/>
    <w:rsid w:val="004F455D"/>
    <w:rsid w:val="005019D0"/>
    <w:rsid w:val="00504CF3"/>
    <w:rsid w:val="00511B00"/>
    <w:rsid w:val="00512060"/>
    <w:rsid w:val="005169CB"/>
    <w:rsid w:val="0052382E"/>
    <w:rsid w:val="00526EE8"/>
    <w:rsid w:val="00526F22"/>
    <w:rsid w:val="0053496E"/>
    <w:rsid w:val="0054209C"/>
    <w:rsid w:val="00543536"/>
    <w:rsid w:val="005521FC"/>
    <w:rsid w:val="00554387"/>
    <w:rsid w:val="00557F0F"/>
    <w:rsid w:val="005647CB"/>
    <w:rsid w:val="00570415"/>
    <w:rsid w:val="00572180"/>
    <w:rsid w:val="00573995"/>
    <w:rsid w:val="00574BBE"/>
    <w:rsid w:val="005832A1"/>
    <w:rsid w:val="005901B0"/>
    <w:rsid w:val="0059454C"/>
    <w:rsid w:val="005946CE"/>
    <w:rsid w:val="00595E65"/>
    <w:rsid w:val="005A5A7F"/>
    <w:rsid w:val="005B1B44"/>
    <w:rsid w:val="005D4C1E"/>
    <w:rsid w:val="005D5F72"/>
    <w:rsid w:val="005E3155"/>
    <w:rsid w:val="005E442E"/>
    <w:rsid w:val="006067A7"/>
    <w:rsid w:val="00607CD9"/>
    <w:rsid w:val="006102C8"/>
    <w:rsid w:val="00612A9E"/>
    <w:rsid w:val="00615CAD"/>
    <w:rsid w:val="0061685F"/>
    <w:rsid w:val="00626727"/>
    <w:rsid w:val="00630434"/>
    <w:rsid w:val="00662BA8"/>
    <w:rsid w:val="006756F2"/>
    <w:rsid w:val="00676564"/>
    <w:rsid w:val="00681A85"/>
    <w:rsid w:val="00695198"/>
    <w:rsid w:val="006A4541"/>
    <w:rsid w:val="006B2E2F"/>
    <w:rsid w:val="006B6C6C"/>
    <w:rsid w:val="006B76B2"/>
    <w:rsid w:val="006B7C17"/>
    <w:rsid w:val="006C6FDA"/>
    <w:rsid w:val="006D3FFE"/>
    <w:rsid w:val="006D4F68"/>
    <w:rsid w:val="006D725F"/>
    <w:rsid w:val="006D7EBC"/>
    <w:rsid w:val="006E0576"/>
    <w:rsid w:val="006E14F8"/>
    <w:rsid w:val="006E16DB"/>
    <w:rsid w:val="006E770D"/>
    <w:rsid w:val="006F24E9"/>
    <w:rsid w:val="006F548F"/>
    <w:rsid w:val="00700FCA"/>
    <w:rsid w:val="00701F49"/>
    <w:rsid w:val="00705A10"/>
    <w:rsid w:val="0072358E"/>
    <w:rsid w:val="00723AEA"/>
    <w:rsid w:val="00736960"/>
    <w:rsid w:val="0074115B"/>
    <w:rsid w:val="00741168"/>
    <w:rsid w:val="007466F3"/>
    <w:rsid w:val="00746B5C"/>
    <w:rsid w:val="00750268"/>
    <w:rsid w:val="00762278"/>
    <w:rsid w:val="007710D6"/>
    <w:rsid w:val="007810A9"/>
    <w:rsid w:val="00793FA0"/>
    <w:rsid w:val="00797C5A"/>
    <w:rsid w:val="007A2579"/>
    <w:rsid w:val="007A3B1E"/>
    <w:rsid w:val="007B652C"/>
    <w:rsid w:val="007B7CE3"/>
    <w:rsid w:val="007C2391"/>
    <w:rsid w:val="007C668D"/>
    <w:rsid w:val="007D2A90"/>
    <w:rsid w:val="007D794F"/>
    <w:rsid w:val="007F3580"/>
    <w:rsid w:val="007F5BAE"/>
    <w:rsid w:val="007F5F2B"/>
    <w:rsid w:val="007F77BF"/>
    <w:rsid w:val="00804E61"/>
    <w:rsid w:val="00823660"/>
    <w:rsid w:val="0082714F"/>
    <w:rsid w:val="008346CD"/>
    <w:rsid w:val="0083595D"/>
    <w:rsid w:val="00840D73"/>
    <w:rsid w:val="0084162A"/>
    <w:rsid w:val="0084782A"/>
    <w:rsid w:val="008513DA"/>
    <w:rsid w:val="00855A42"/>
    <w:rsid w:val="0085761B"/>
    <w:rsid w:val="00857BE2"/>
    <w:rsid w:val="008603E6"/>
    <w:rsid w:val="00861E0B"/>
    <w:rsid w:val="00862342"/>
    <w:rsid w:val="00862540"/>
    <w:rsid w:val="00863B28"/>
    <w:rsid w:val="00866E8B"/>
    <w:rsid w:val="00871959"/>
    <w:rsid w:val="00883153"/>
    <w:rsid w:val="00890771"/>
    <w:rsid w:val="008A4104"/>
    <w:rsid w:val="008B01FE"/>
    <w:rsid w:val="008B0739"/>
    <w:rsid w:val="008D70E6"/>
    <w:rsid w:val="008E080D"/>
    <w:rsid w:val="008E34BE"/>
    <w:rsid w:val="008E7AEA"/>
    <w:rsid w:val="008F3B51"/>
    <w:rsid w:val="008F655F"/>
    <w:rsid w:val="008F6C87"/>
    <w:rsid w:val="009000BA"/>
    <w:rsid w:val="0090383F"/>
    <w:rsid w:val="00905D18"/>
    <w:rsid w:val="00906D4F"/>
    <w:rsid w:val="0092247F"/>
    <w:rsid w:val="009418FA"/>
    <w:rsid w:val="0094332E"/>
    <w:rsid w:val="00960F25"/>
    <w:rsid w:val="009706BA"/>
    <w:rsid w:val="00970715"/>
    <w:rsid w:val="00974C99"/>
    <w:rsid w:val="0097557D"/>
    <w:rsid w:val="00983414"/>
    <w:rsid w:val="00997AB8"/>
    <w:rsid w:val="009A1BF1"/>
    <w:rsid w:val="009A1D75"/>
    <w:rsid w:val="009B0A6A"/>
    <w:rsid w:val="009B2B70"/>
    <w:rsid w:val="009C1476"/>
    <w:rsid w:val="009C332F"/>
    <w:rsid w:val="009C5F08"/>
    <w:rsid w:val="009C5FE0"/>
    <w:rsid w:val="009D1C6E"/>
    <w:rsid w:val="009D261C"/>
    <w:rsid w:val="009D5C0A"/>
    <w:rsid w:val="009E1ACB"/>
    <w:rsid w:val="009F258D"/>
    <w:rsid w:val="009F3F2A"/>
    <w:rsid w:val="009F3FE4"/>
    <w:rsid w:val="009F4A20"/>
    <w:rsid w:val="009F5AB7"/>
    <w:rsid w:val="009F6A32"/>
    <w:rsid w:val="00A002EE"/>
    <w:rsid w:val="00A01B8A"/>
    <w:rsid w:val="00A03AC0"/>
    <w:rsid w:val="00A1258F"/>
    <w:rsid w:val="00A16171"/>
    <w:rsid w:val="00A21FCF"/>
    <w:rsid w:val="00A31CE7"/>
    <w:rsid w:val="00A33700"/>
    <w:rsid w:val="00A33F7C"/>
    <w:rsid w:val="00A37194"/>
    <w:rsid w:val="00A46D87"/>
    <w:rsid w:val="00A47E63"/>
    <w:rsid w:val="00A63FFB"/>
    <w:rsid w:val="00A74F5D"/>
    <w:rsid w:val="00A8052F"/>
    <w:rsid w:val="00A8181D"/>
    <w:rsid w:val="00A83F7F"/>
    <w:rsid w:val="00A86050"/>
    <w:rsid w:val="00A96B62"/>
    <w:rsid w:val="00A972C6"/>
    <w:rsid w:val="00AA0DF3"/>
    <w:rsid w:val="00AA45F5"/>
    <w:rsid w:val="00AA4D4F"/>
    <w:rsid w:val="00AB22F8"/>
    <w:rsid w:val="00AB7383"/>
    <w:rsid w:val="00AB779F"/>
    <w:rsid w:val="00AC26A3"/>
    <w:rsid w:val="00AC5EF6"/>
    <w:rsid w:val="00AE0A78"/>
    <w:rsid w:val="00AE0FB3"/>
    <w:rsid w:val="00AE3461"/>
    <w:rsid w:val="00AF388F"/>
    <w:rsid w:val="00B05C2E"/>
    <w:rsid w:val="00B0762A"/>
    <w:rsid w:val="00B07827"/>
    <w:rsid w:val="00B109F7"/>
    <w:rsid w:val="00B15070"/>
    <w:rsid w:val="00B17471"/>
    <w:rsid w:val="00B22E0C"/>
    <w:rsid w:val="00B34104"/>
    <w:rsid w:val="00B37E91"/>
    <w:rsid w:val="00B427FF"/>
    <w:rsid w:val="00B43EC1"/>
    <w:rsid w:val="00B54317"/>
    <w:rsid w:val="00B65E08"/>
    <w:rsid w:val="00B67F29"/>
    <w:rsid w:val="00B74769"/>
    <w:rsid w:val="00B74F00"/>
    <w:rsid w:val="00B80672"/>
    <w:rsid w:val="00B8577D"/>
    <w:rsid w:val="00B93665"/>
    <w:rsid w:val="00B94B56"/>
    <w:rsid w:val="00B9681C"/>
    <w:rsid w:val="00BD365F"/>
    <w:rsid w:val="00BD38DE"/>
    <w:rsid w:val="00BD58EE"/>
    <w:rsid w:val="00BF0218"/>
    <w:rsid w:val="00BF135B"/>
    <w:rsid w:val="00C035D9"/>
    <w:rsid w:val="00C06D26"/>
    <w:rsid w:val="00C16CE4"/>
    <w:rsid w:val="00C21BF4"/>
    <w:rsid w:val="00C22750"/>
    <w:rsid w:val="00C25731"/>
    <w:rsid w:val="00C3319F"/>
    <w:rsid w:val="00C3482E"/>
    <w:rsid w:val="00C4399C"/>
    <w:rsid w:val="00C445F5"/>
    <w:rsid w:val="00C479DC"/>
    <w:rsid w:val="00C53502"/>
    <w:rsid w:val="00C54095"/>
    <w:rsid w:val="00C56D9B"/>
    <w:rsid w:val="00C66309"/>
    <w:rsid w:val="00C70C39"/>
    <w:rsid w:val="00C76F5B"/>
    <w:rsid w:val="00C7702F"/>
    <w:rsid w:val="00C91825"/>
    <w:rsid w:val="00C92483"/>
    <w:rsid w:val="00C932EE"/>
    <w:rsid w:val="00C95B81"/>
    <w:rsid w:val="00CA29AB"/>
    <w:rsid w:val="00CB39E7"/>
    <w:rsid w:val="00CC2B0E"/>
    <w:rsid w:val="00CD1152"/>
    <w:rsid w:val="00CD1623"/>
    <w:rsid w:val="00CE2873"/>
    <w:rsid w:val="00CE7E81"/>
    <w:rsid w:val="00CF0732"/>
    <w:rsid w:val="00CF090C"/>
    <w:rsid w:val="00CF15FA"/>
    <w:rsid w:val="00CF708C"/>
    <w:rsid w:val="00D01646"/>
    <w:rsid w:val="00D153F9"/>
    <w:rsid w:val="00D2181F"/>
    <w:rsid w:val="00D27773"/>
    <w:rsid w:val="00D27A24"/>
    <w:rsid w:val="00D32E88"/>
    <w:rsid w:val="00D40564"/>
    <w:rsid w:val="00D63979"/>
    <w:rsid w:val="00D73BB8"/>
    <w:rsid w:val="00D816CA"/>
    <w:rsid w:val="00D87426"/>
    <w:rsid w:val="00D94301"/>
    <w:rsid w:val="00DA1F1E"/>
    <w:rsid w:val="00DB0608"/>
    <w:rsid w:val="00DB07B8"/>
    <w:rsid w:val="00DC0CA1"/>
    <w:rsid w:val="00DC264E"/>
    <w:rsid w:val="00DD6FC8"/>
    <w:rsid w:val="00DE537B"/>
    <w:rsid w:val="00DE6F99"/>
    <w:rsid w:val="00DF0D84"/>
    <w:rsid w:val="00E023B2"/>
    <w:rsid w:val="00E040DF"/>
    <w:rsid w:val="00E060E2"/>
    <w:rsid w:val="00E17282"/>
    <w:rsid w:val="00E2080A"/>
    <w:rsid w:val="00E21F0B"/>
    <w:rsid w:val="00E301A3"/>
    <w:rsid w:val="00E31CE0"/>
    <w:rsid w:val="00E41ADE"/>
    <w:rsid w:val="00E46CCB"/>
    <w:rsid w:val="00E60610"/>
    <w:rsid w:val="00E66B3C"/>
    <w:rsid w:val="00E70067"/>
    <w:rsid w:val="00E8181D"/>
    <w:rsid w:val="00E85B71"/>
    <w:rsid w:val="00E935E1"/>
    <w:rsid w:val="00E945D1"/>
    <w:rsid w:val="00E96BEB"/>
    <w:rsid w:val="00EA3DA0"/>
    <w:rsid w:val="00EB1606"/>
    <w:rsid w:val="00EB3082"/>
    <w:rsid w:val="00EB30B4"/>
    <w:rsid w:val="00EB6F31"/>
    <w:rsid w:val="00EC0380"/>
    <w:rsid w:val="00EC0724"/>
    <w:rsid w:val="00EC28C6"/>
    <w:rsid w:val="00EC55D2"/>
    <w:rsid w:val="00EC6F08"/>
    <w:rsid w:val="00ED5D00"/>
    <w:rsid w:val="00EE628F"/>
    <w:rsid w:val="00F05554"/>
    <w:rsid w:val="00F129B2"/>
    <w:rsid w:val="00F139DE"/>
    <w:rsid w:val="00F21EF3"/>
    <w:rsid w:val="00F324A5"/>
    <w:rsid w:val="00F348E6"/>
    <w:rsid w:val="00F35491"/>
    <w:rsid w:val="00F43567"/>
    <w:rsid w:val="00F46388"/>
    <w:rsid w:val="00F47017"/>
    <w:rsid w:val="00F543F2"/>
    <w:rsid w:val="00F56F65"/>
    <w:rsid w:val="00F62DC0"/>
    <w:rsid w:val="00F64386"/>
    <w:rsid w:val="00F83C3B"/>
    <w:rsid w:val="00F842FC"/>
    <w:rsid w:val="00FA525E"/>
    <w:rsid w:val="00FC1E9E"/>
    <w:rsid w:val="00FC7B5B"/>
    <w:rsid w:val="00FD4D38"/>
    <w:rsid w:val="00FE1874"/>
    <w:rsid w:val="00FE76F1"/>
    <w:rsid w:val="00FF252C"/>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3D"/>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6CE6"/>
    <w:rPr>
      <w:rFonts w:ascii="Tahoma" w:hAnsi="Tahoma" w:cs="Tahoma"/>
      <w:sz w:val="16"/>
      <w:szCs w:val="16"/>
    </w:rPr>
  </w:style>
  <w:style w:type="paragraph" w:customStyle="1" w:styleId="Level2">
    <w:name w:val="Level 2"/>
    <w:rsid w:val="0000540D"/>
    <w:pPr>
      <w:autoSpaceDE w:val="0"/>
      <w:autoSpaceDN w:val="0"/>
      <w:adjustRightInd w:val="0"/>
      <w:ind w:left="1440"/>
    </w:pPr>
    <w:rPr>
      <w:sz w:val="24"/>
      <w:szCs w:val="24"/>
    </w:rPr>
  </w:style>
  <w:style w:type="table" w:styleId="TableGrid">
    <w:name w:val="Table Grid"/>
    <w:basedOn w:val="TableNormal"/>
    <w:rsid w:val="0000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5AB7"/>
    <w:pPr>
      <w:tabs>
        <w:tab w:val="center" w:pos="4320"/>
        <w:tab w:val="right" w:pos="8640"/>
      </w:tabs>
    </w:pPr>
  </w:style>
  <w:style w:type="paragraph" w:styleId="Footer">
    <w:name w:val="footer"/>
    <w:basedOn w:val="Normal"/>
    <w:rsid w:val="009F5AB7"/>
    <w:pPr>
      <w:tabs>
        <w:tab w:val="center" w:pos="4320"/>
        <w:tab w:val="right" w:pos="8640"/>
      </w:tabs>
    </w:pPr>
  </w:style>
  <w:style w:type="character" w:styleId="PageNumber">
    <w:name w:val="page number"/>
    <w:basedOn w:val="DefaultParagraphFont"/>
    <w:rsid w:val="005169CB"/>
  </w:style>
  <w:style w:type="character" w:styleId="CommentReference">
    <w:name w:val="annotation reference"/>
    <w:basedOn w:val="DefaultParagraphFont"/>
    <w:semiHidden/>
    <w:rsid w:val="0000176D"/>
    <w:rPr>
      <w:sz w:val="16"/>
      <w:szCs w:val="16"/>
    </w:rPr>
  </w:style>
  <w:style w:type="paragraph" w:styleId="CommentText">
    <w:name w:val="annotation text"/>
    <w:basedOn w:val="Normal"/>
    <w:semiHidden/>
    <w:rsid w:val="0000176D"/>
    <w:rPr>
      <w:sz w:val="20"/>
      <w:szCs w:val="20"/>
    </w:rPr>
  </w:style>
  <w:style w:type="paragraph" w:styleId="CommentSubject">
    <w:name w:val="annotation subject"/>
    <w:basedOn w:val="CommentText"/>
    <w:next w:val="CommentText"/>
    <w:semiHidden/>
    <w:rsid w:val="0000176D"/>
    <w:rPr>
      <w:b/>
      <w:bCs/>
    </w:rPr>
  </w:style>
  <w:style w:type="paragraph" w:styleId="FootnoteText">
    <w:name w:val="footnote text"/>
    <w:basedOn w:val="Normal"/>
    <w:semiHidden/>
    <w:rsid w:val="00011BEE"/>
    <w:rPr>
      <w:sz w:val="20"/>
      <w:szCs w:val="20"/>
    </w:rPr>
  </w:style>
  <w:style w:type="character" w:styleId="FootnoteReference">
    <w:name w:val="footnote reference"/>
    <w:basedOn w:val="DefaultParagraphFont"/>
    <w:semiHidden/>
    <w:rsid w:val="00011BEE"/>
    <w:rPr>
      <w:vertAlign w:val="superscript"/>
    </w:rPr>
  </w:style>
  <w:style w:type="paragraph" w:styleId="ListParagraph">
    <w:name w:val="List Paragraph"/>
    <w:basedOn w:val="Normal"/>
    <w:uiPriority w:val="34"/>
    <w:qFormat/>
    <w:rsid w:val="007810A9"/>
    <w:pPr>
      <w:ind w:left="720"/>
    </w:pPr>
  </w:style>
  <w:style w:type="character" w:customStyle="1" w:styleId="HeaderChar">
    <w:name w:val="Header Char"/>
    <w:basedOn w:val="DefaultParagraphFont"/>
    <w:link w:val="Header"/>
    <w:uiPriority w:val="99"/>
    <w:rsid w:val="00974C99"/>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3D"/>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6CE6"/>
    <w:rPr>
      <w:rFonts w:ascii="Tahoma" w:hAnsi="Tahoma" w:cs="Tahoma"/>
      <w:sz w:val="16"/>
      <w:szCs w:val="16"/>
    </w:rPr>
  </w:style>
  <w:style w:type="paragraph" w:customStyle="1" w:styleId="Level2">
    <w:name w:val="Level 2"/>
    <w:rsid w:val="0000540D"/>
    <w:pPr>
      <w:autoSpaceDE w:val="0"/>
      <w:autoSpaceDN w:val="0"/>
      <w:adjustRightInd w:val="0"/>
      <w:ind w:left="1440"/>
    </w:pPr>
    <w:rPr>
      <w:sz w:val="24"/>
      <w:szCs w:val="24"/>
    </w:rPr>
  </w:style>
  <w:style w:type="table" w:styleId="TableGrid">
    <w:name w:val="Table Grid"/>
    <w:basedOn w:val="TableNormal"/>
    <w:rsid w:val="0000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5AB7"/>
    <w:pPr>
      <w:tabs>
        <w:tab w:val="center" w:pos="4320"/>
        <w:tab w:val="right" w:pos="8640"/>
      </w:tabs>
    </w:pPr>
  </w:style>
  <w:style w:type="paragraph" w:styleId="Footer">
    <w:name w:val="footer"/>
    <w:basedOn w:val="Normal"/>
    <w:rsid w:val="009F5AB7"/>
    <w:pPr>
      <w:tabs>
        <w:tab w:val="center" w:pos="4320"/>
        <w:tab w:val="right" w:pos="8640"/>
      </w:tabs>
    </w:pPr>
  </w:style>
  <w:style w:type="character" w:styleId="PageNumber">
    <w:name w:val="page number"/>
    <w:basedOn w:val="DefaultParagraphFont"/>
    <w:rsid w:val="005169CB"/>
  </w:style>
  <w:style w:type="character" w:styleId="CommentReference">
    <w:name w:val="annotation reference"/>
    <w:basedOn w:val="DefaultParagraphFont"/>
    <w:semiHidden/>
    <w:rsid w:val="0000176D"/>
    <w:rPr>
      <w:sz w:val="16"/>
      <w:szCs w:val="16"/>
    </w:rPr>
  </w:style>
  <w:style w:type="paragraph" w:styleId="CommentText">
    <w:name w:val="annotation text"/>
    <w:basedOn w:val="Normal"/>
    <w:semiHidden/>
    <w:rsid w:val="0000176D"/>
    <w:rPr>
      <w:sz w:val="20"/>
      <w:szCs w:val="20"/>
    </w:rPr>
  </w:style>
  <w:style w:type="paragraph" w:styleId="CommentSubject">
    <w:name w:val="annotation subject"/>
    <w:basedOn w:val="CommentText"/>
    <w:next w:val="CommentText"/>
    <w:semiHidden/>
    <w:rsid w:val="0000176D"/>
    <w:rPr>
      <w:b/>
      <w:bCs/>
    </w:rPr>
  </w:style>
  <w:style w:type="paragraph" w:styleId="FootnoteText">
    <w:name w:val="footnote text"/>
    <w:basedOn w:val="Normal"/>
    <w:semiHidden/>
    <w:rsid w:val="00011BEE"/>
    <w:rPr>
      <w:sz w:val="20"/>
      <w:szCs w:val="20"/>
    </w:rPr>
  </w:style>
  <w:style w:type="character" w:styleId="FootnoteReference">
    <w:name w:val="footnote reference"/>
    <w:basedOn w:val="DefaultParagraphFont"/>
    <w:semiHidden/>
    <w:rsid w:val="00011BEE"/>
    <w:rPr>
      <w:vertAlign w:val="superscript"/>
    </w:rPr>
  </w:style>
  <w:style w:type="paragraph" w:styleId="ListParagraph">
    <w:name w:val="List Paragraph"/>
    <w:basedOn w:val="Normal"/>
    <w:uiPriority w:val="34"/>
    <w:qFormat/>
    <w:rsid w:val="007810A9"/>
    <w:pPr>
      <w:ind w:left="720"/>
    </w:pPr>
  </w:style>
  <w:style w:type="character" w:customStyle="1" w:styleId="HeaderChar">
    <w:name w:val="Header Char"/>
    <w:basedOn w:val="DefaultParagraphFont"/>
    <w:link w:val="Header"/>
    <w:uiPriority w:val="99"/>
    <w:rsid w:val="00974C9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7726">
      <w:bodyDiv w:val="1"/>
      <w:marLeft w:val="0"/>
      <w:marRight w:val="0"/>
      <w:marTop w:val="0"/>
      <w:marBottom w:val="0"/>
      <w:divBdr>
        <w:top w:val="none" w:sz="0" w:space="0" w:color="auto"/>
        <w:left w:val="none" w:sz="0" w:space="0" w:color="auto"/>
        <w:bottom w:val="none" w:sz="0" w:space="0" w:color="auto"/>
        <w:right w:val="none" w:sz="0" w:space="0" w:color="auto"/>
      </w:divBdr>
      <w:divsChild>
        <w:div w:id="1088774272">
          <w:marLeft w:val="547"/>
          <w:marRight w:val="0"/>
          <w:marTop w:val="120"/>
          <w:marBottom w:val="0"/>
          <w:divBdr>
            <w:top w:val="none" w:sz="0" w:space="0" w:color="auto"/>
            <w:left w:val="none" w:sz="0" w:space="0" w:color="auto"/>
            <w:bottom w:val="none" w:sz="0" w:space="0" w:color="auto"/>
            <w:right w:val="none" w:sz="0" w:space="0" w:color="auto"/>
          </w:divBdr>
        </w:div>
        <w:div w:id="949120727">
          <w:marLeft w:val="1166"/>
          <w:marRight w:val="0"/>
          <w:marTop w:val="106"/>
          <w:marBottom w:val="0"/>
          <w:divBdr>
            <w:top w:val="none" w:sz="0" w:space="0" w:color="auto"/>
            <w:left w:val="none" w:sz="0" w:space="0" w:color="auto"/>
            <w:bottom w:val="none" w:sz="0" w:space="0" w:color="auto"/>
            <w:right w:val="none" w:sz="0" w:space="0" w:color="auto"/>
          </w:divBdr>
        </w:div>
        <w:div w:id="811991196">
          <w:marLeft w:val="1166"/>
          <w:marRight w:val="0"/>
          <w:marTop w:val="106"/>
          <w:marBottom w:val="0"/>
          <w:divBdr>
            <w:top w:val="none" w:sz="0" w:space="0" w:color="auto"/>
            <w:left w:val="none" w:sz="0" w:space="0" w:color="auto"/>
            <w:bottom w:val="none" w:sz="0" w:space="0" w:color="auto"/>
            <w:right w:val="none" w:sz="0" w:space="0" w:color="auto"/>
          </w:divBdr>
        </w:div>
        <w:div w:id="1608656743">
          <w:marLeft w:val="1166"/>
          <w:marRight w:val="0"/>
          <w:marTop w:val="106"/>
          <w:marBottom w:val="0"/>
          <w:divBdr>
            <w:top w:val="none" w:sz="0" w:space="0" w:color="auto"/>
            <w:left w:val="none" w:sz="0" w:space="0" w:color="auto"/>
            <w:bottom w:val="none" w:sz="0" w:space="0" w:color="auto"/>
            <w:right w:val="none" w:sz="0" w:space="0" w:color="auto"/>
          </w:divBdr>
        </w:div>
        <w:div w:id="1361974926">
          <w:marLeft w:val="547"/>
          <w:marRight w:val="0"/>
          <w:marTop w:val="120"/>
          <w:marBottom w:val="0"/>
          <w:divBdr>
            <w:top w:val="none" w:sz="0" w:space="0" w:color="auto"/>
            <w:left w:val="none" w:sz="0" w:space="0" w:color="auto"/>
            <w:bottom w:val="none" w:sz="0" w:space="0" w:color="auto"/>
            <w:right w:val="none" w:sz="0" w:space="0" w:color="auto"/>
          </w:divBdr>
        </w:div>
        <w:div w:id="259919143">
          <w:marLeft w:val="547"/>
          <w:marRight w:val="0"/>
          <w:marTop w:val="120"/>
          <w:marBottom w:val="0"/>
          <w:divBdr>
            <w:top w:val="none" w:sz="0" w:space="0" w:color="auto"/>
            <w:left w:val="none" w:sz="0" w:space="0" w:color="auto"/>
            <w:bottom w:val="none" w:sz="0" w:space="0" w:color="auto"/>
            <w:right w:val="none" w:sz="0" w:space="0" w:color="auto"/>
          </w:divBdr>
        </w:div>
        <w:div w:id="1849561503">
          <w:marLeft w:val="547"/>
          <w:marRight w:val="0"/>
          <w:marTop w:val="120"/>
          <w:marBottom w:val="0"/>
          <w:divBdr>
            <w:top w:val="none" w:sz="0" w:space="0" w:color="auto"/>
            <w:left w:val="none" w:sz="0" w:space="0" w:color="auto"/>
            <w:bottom w:val="none" w:sz="0" w:space="0" w:color="auto"/>
            <w:right w:val="none" w:sz="0" w:space="0" w:color="auto"/>
          </w:divBdr>
        </w:div>
      </w:divsChild>
    </w:div>
    <w:div w:id="547959350">
      <w:bodyDiv w:val="1"/>
      <w:marLeft w:val="0"/>
      <w:marRight w:val="0"/>
      <w:marTop w:val="0"/>
      <w:marBottom w:val="0"/>
      <w:divBdr>
        <w:top w:val="none" w:sz="0" w:space="0" w:color="auto"/>
        <w:left w:val="none" w:sz="0" w:space="0" w:color="auto"/>
        <w:bottom w:val="none" w:sz="0" w:space="0" w:color="auto"/>
        <w:right w:val="none" w:sz="0" w:space="0" w:color="auto"/>
      </w:divBdr>
      <w:divsChild>
        <w:div w:id="197089093">
          <w:marLeft w:val="0"/>
          <w:marRight w:val="0"/>
          <w:marTop w:val="0"/>
          <w:marBottom w:val="0"/>
          <w:divBdr>
            <w:top w:val="none" w:sz="0" w:space="0" w:color="auto"/>
            <w:left w:val="none" w:sz="0" w:space="0" w:color="auto"/>
            <w:bottom w:val="none" w:sz="0" w:space="0" w:color="auto"/>
            <w:right w:val="none" w:sz="0" w:space="0" w:color="auto"/>
          </w:divBdr>
          <w:divsChild>
            <w:div w:id="435903338">
              <w:marLeft w:val="0"/>
              <w:marRight w:val="0"/>
              <w:marTop w:val="0"/>
              <w:marBottom w:val="0"/>
              <w:divBdr>
                <w:top w:val="none" w:sz="0" w:space="0" w:color="auto"/>
                <w:left w:val="none" w:sz="0" w:space="0" w:color="auto"/>
                <w:bottom w:val="none" w:sz="0" w:space="0" w:color="auto"/>
                <w:right w:val="none" w:sz="0" w:space="0" w:color="auto"/>
              </w:divBdr>
            </w:div>
            <w:div w:id="441389319">
              <w:marLeft w:val="0"/>
              <w:marRight w:val="0"/>
              <w:marTop w:val="0"/>
              <w:marBottom w:val="0"/>
              <w:divBdr>
                <w:top w:val="none" w:sz="0" w:space="0" w:color="auto"/>
                <w:left w:val="none" w:sz="0" w:space="0" w:color="auto"/>
                <w:bottom w:val="none" w:sz="0" w:space="0" w:color="auto"/>
                <w:right w:val="none" w:sz="0" w:space="0" w:color="auto"/>
              </w:divBdr>
            </w:div>
            <w:div w:id="449275997">
              <w:marLeft w:val="0"/>
              <w:marRight w:val="0"/>
              <w:marTop w:val="0"/>
              <w:marBottom w:val="0"/>
              <w:divBdr>
                <w:top w:val="none" w:sz="0" w:space="0" w:color="auto"/>
                <w:left w:val="none" w:sz="0" w:space="0" w:color="auto"/>
                <w:bottom w:val="none" w:sz="0" w:space="0" w:color="auto"/>
                <w:right w:val="none" w:sz="0" w:space="0" w:color="auto"/>
              </w:divBdr>
            </w:div>
            <w:div w:id="625819930">
              <w:marLeft w:val="0"/>
              <w:marRight w:val="0"/>
              <w:marTop w:val="0"/>
              <w:marBottom w:val="0"/>
              <w:divBdr>
                <w:top w:val="none" w:sz="0" w:space="0" w:color="auto"/>
                <w:left w:val="none" w:sz="0" w:space="0" w:color="auto"/>
                <w:bottom w:val="none" w:sz="0" w:space="0" w:color="auto"/>
                <w:right w:val="none" w:sz="0" w:space="0" w:color="auto"/>
              </w:divBdr>
            </w:div>
            <w:div w:id="1280916547">
              <w:marLeft w:val="0"/>
              <w:marRight w:val="0"/>
              <w:marTop w:val="0"/>
              <w:marBottom w:val="0"/>
              <w:divBdr>
                <w:top w:val="none" w:sz="0" w:space="0" w:color="auto"/>
                <w:left w:val="none" w:sz="0" w:space="0" w:color="auto"/>
                <w:bottom w:val="none" w:sz="0" w:space="0" w:color="auto"/>
                <w:right w:val="none" w:sz="0" w:space="0" w:color="auto"/>
              </w:divBdr>
            </w:div>
            <w:div w:id="1604724761">
              <w:marLeft w:val="0"/>
              <w:marRight w:val="0"/>
              <w:marTop w:val="0"/>
              <w:marBottom w:val="0"/>
              <w:divBdr>
                <w:top w:val="none" w:sz="0" w:space="0" w:color="auto"/>
                <w:left w:val="none" w:sz="0" w:space="0" w:color="auto"/>
                <w:bottom w:val="none" w:sz="0" w:space="0" w:color="auto"/>
                <w:right w:val="none" w:sz="0" w:space="0" w:color="auto"/>
              </w:divBdr>
            </w:div>
            <w:div w:id="1627194312">
              <w:marLeft w:val="0"/>
              <w:marRight w:val="0"/>
              <w:marTop w:val="0"/>
              <w:marBottom w:val="0"/>
              <w:divBdr>
                <w:top w:val="none" w:sz="0" w:space="0" w:color="auto"/>
                <w:left w:val="none" w:sz="0" w:space="0" w:color="auto"/>
                <w:bottom w:val="none" w:sz="0" w:space="0" w:color="auto"/>
                <w:right w:val="none" w:sz="0" w:space="0" w:color="auto"/>
              </w:divBdr>
            </w:div>
            <w:div w:id="18732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7949">
      <w:bodyDiv w:val="1"/>
      <w:marLeft w:val="0"/>
      <w:marRight w:val="0"/>
      <w:marTop w:val="0"/>
      <w:marBottom w:val="0"/>
      <w:divBdr>
        <w:top w:val="none" w:sz="0" w:space="0" w:color="auto"/>
        <w:left w:val="none" w:sz="0" w:space="0" w:color="auto"/>
        <w:bottom w:val="none" w:sz="0" w:space="0" w:color="auto"/>
        <w:right w:val="none" w:sz="0" w:space="0" w:color="auto"/>
      </w:divBdr>
      <w:divsChild>
        <w:div w:id="73859992">
          <w:marLeft w:val="0"/>
          <w:marRight w:val="0"/>
          <w:marTop w:val="0"/>
          <w:marBottom w:val="0"/>
          <w:divBdr>
            <w:top w:val="none" w:sz="0" w:space="0" w:color="auto"/>
            <w:left w:val="none" w:sz="0" w:space="0" w:color="auto"/>
            <w:bottom w:val="none" w:sz="0" w:space="0" w:color="auto"/>
            <w:right w:val="none" w:sz="0" w:space="0" w:color="auto"/>
          </w:divBdr>
        </w:div>
        <w:div w:id="94712255">
          <w:marLeft w:val="0"/>
          <w:marRight w:val="0"/>
          <w:marTop w:val="0"/>
          <w:marBottom w:val="0"/>
          <w:divBdr>
            <w:top w:val="none" w:sz="0" w:space="0" w:color="auto"/>
            <w:left w:val="none" w:sz="0" w:space="0" w:color="auto"/>
            <w:bottom w:val="none" w:sz="0" w:space="0" w:color="auto"/>
            <w:right w:val="none" w:sz="0" w:space="0" w:color="auto"/>
          </w:divBdr>
        </w:div>
        <w:div w:id="155072811">
          <w:marLeft w:val="0"/>
          <w:marRight w:val="0"/>
          <w:marTop w:val="0"/>
          <w:marBottom w:val="0"/>
          <w:divBdr>
            <w:top w:val="none" w:sz="0" w:space="0" w:color="auto"/>
            <w:left w:val="none" w:sz="0" w:space="0" w:color="auto"/>
            <w:bottom w:val="none" w:sz="0" w:space="0" w:color="auto"/>
            <w:right w:val="none" w:sz="0" w:space="0" w:color="auto"/>
          </w:divBdr>
        </w:div>
        <w:div w:id="212160775">
          <w:marLeft w:val="0"/>
          <w:marRight w:val="0"/>
          <w:marTop w:val="0"/>
          <w:marBottom w:val="0"/>
          <w:divBdr>
            <w:top w:val="none" w:sz="0" w:space="0" w:color="auto"/>
            <w:left w:val="none" w:sz="0" w:space="0" w:color="auto"/>
            <w:bottom w:val="none" w:sz="0" w:space="0" w:color="auto"/>
            <w:right w:val="none" w:sz="0" w:space="0" w:color="auto"/>
          </w:divBdr>
          <w:divsChild>
            <w:div w:id="976835613">
              <w:marLeft w:val="0"/>
              <w:marRight w:val="0"/>
              <w:marTop w:val="0"/>
              <w:marBottom w:val="0"/>
              <w:divBdr>
                <w:top w:val="none" w:sz="0" w:space="0" w:color="auto"/>
                <w:left w:val="none" w:sz="0" w:space="0" w:color="auto"/>
                <w:bottom w:val="none" w:sz="0" w:space="0" w:color="auto"/>
                <w:right w:val="none" w:sz="0" w:space="0" w:color="auto"/>
              </w:divBdr>
            </w:div>
          </w:divsChild>
        </w:div>
        <w:div w:id="236064209">
          <w:marLeft w:val="0"/>
          <w:marRight w:val="0"/>
          <w:marTop w:val="0"/>
          <w:marBottom w:val="0"/>
          <w:divBdr>
            <w:top w:val="none" w:sz="0" w:space="0" w:color="auto"/>
            <w:left w:val="none" w:sz="0" w:space="0" w:color="auto"/>
            <w:bottom w:val="none" w:sz="0" w:space="0" w:color="auto"/>
            <w:right w:val="none" w:sz="0" w:space="0" w:color="auto"/>
          </w:divBdr>
        </w:div>
        <w:div w:id="568535553">
          <w:marLeft w:val="0"/>
          <w:marRight w:val="0"/>
          <w:marTop w:val="0"/>
          <w:marBottom w:val="0"/>
          <w:divBdr>
            <w:top w:val="none" w:sz="0" w:space="0" w:color="auto"/>
            <w:left w:val="none" w:sz="0" w:space="0" w:color="auto"/>
            <w:bottom w:val="none" w:sz="0" w:space="0" w:color="auto"/>
            <w:right w:val="none" w:sz="0" w:space="0" w:color="auto"/>
          </w:divBdr>
        </w:div>
        <w:div w:id="609364345">
          <w:marLeft w:val="0"/>
          <w:marRight w:val="0"/>
          <w:marTop w:val="0"/>
          <w:marBottom w:val="0"/>
          <w:divBdr>
            <w:top w:val="none" w:sz="0" w:space="0" w:color="auto"/>
            <w:left w:val="none" w:sz="0" w:space="0" w:color="auto"/>
            <w:bottom w:val="none" w:sz="0" w:space="0" w:color="auto"/>
            <w:right w:val="none" w:sz="0" w:space="0" w:color="auto"/>
          </w:divBdr>
        </w:div>
        <w:div w:id="1363870297">
          <w:marLeft w:val="0"/>
          <w:marRight w:val="0"/>
          <w:marTop w:val="0"/>
          <w:marBottom w:val="0"/>
          <w:divBdr>
            <w:top w:val="none" w:sz="0" w:space="0" w:color="auto"/>
            <w:left w:val="none" w:sz="0" w:space="0" w:color="auto"/>
            <w:bottom w:val="none" w:sz="0" w:space="0" w:color="auto"/>
            <w:right w:val="none" w:sz="0" w:space="0" w:color="auto"/>
          </w:divBdr>
        </w:div>
        <w:div w:id="1900168257">
          <w:marLeft w:val="0"/>
          <w:marRight w:val="0"/>
          <w:marTop w:val="0"/>
          <w:marBottom w:val="0"/>
          <w:divBdr>
            <w:top w:val="none" w:sz="0" w:space="0" w:color="auto"/>
            <w:left w:val="none" w:sz="0" w:space="0" w:color="auto"/>
            <w:bottom w:val="none" w:sz="0" w:space="0" w:color="auto"/>
            <w:right w:val="none" w:sz="0" w:space="0" w:color="auto"/>
          </w:divBdr>
        </w:div>
        <w:div w:id="1945989415">
          <w:marLeft w:val="0"/>
          <w:marRight w:val="0"/>
          <w:marTop w:val="0"/>
          <w:marBottom w:val="0"/>
          <w:divBdr>
            <w:top w:val="none" w:sz="0" w:space="0" w:color="auto"/>
            <w:left w:val="none" w:sz="0" w:space="0" w:color="auto"/>
            <w:bottom w:val="none" w:sz="0" w:space="0" w:color="auto"/>
            <w:right w:val="none" w:sz="0" w:space="0" w:color="auto"/>
          </w:divBdr>
        </w:div>
      </w:divsChild>
    </w:div>
    <w:div w:id="1474104883">
      <w:bodyDiv w:val="1"/>
      <w:marLeft w:val="0"/>
      <w:marRight w:val="0"/>
      <w:marTop w:val="0"/>
      <w:marBottom w:val="0"/>
      <w:divBdr>
        <w:top w:val="none" w:sz="0" w:space="0" w:color="auto"/>
        <w:left w:val="none" w:sz="0" w:space="0" w:color="auto"/>
        <w:bottom w:val="none" w:sz="0" w:space="0" w:color="auto"/>
        <w:right w:val="none" w:sz="0" w:space="0" w:color="auto"/>
      </w:divBdr>
      <w:divsChild>
        <w:div w:id="50633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2ED6-5CE2-4F6A-B729-66E89D2B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Succession Planning Process</vt:lpstr>
    </vt:vector>
  </TitlesOfParts>
  <Company>USNRC</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Planning Process</dc:title>
  <dc:creator>David Holley</dc:creator>
  <cp:lastModifiedBy>Guerrero, Yadira</cp:lastModifiedBy>
  <cp:revision>2</cp:revision>
  <cp:lastPrinted>2016-04-25T14:07:00Z</cp:lastPrinted>
  <dcterms:created xsi:type="dcterms:W3CDTF">2017-10-17T20:19:00Z</dcterms:created>
  <dcterms:modified xsi:type="dcterms:W3CDTF">2017-10-17T20:19:00Z</dcterms:modified>
</cp:coreProperties>
</file>